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9141" w14:textId="29220633" w:rsidR="00B65DCB" w:rsidRPr="00213ACD" w:rsidRDefault="00B65DCB" w:rsidP="00973B36">
      <w:pPr>
        <w:spacing w:line="240" w:lineRule="auto"/>
        <w:rPr>
          <w:rFonts w:ascii="Cambria" w:hAnsi="Cambria" w:cs="Times New Roman"/>
          <w:lang w:val="en-US"/>
        </w:rPr>
      </w:pPr>
      <w:bookmarkStart w:id="0" w:name="_GoBack"/>
      <w:bookmarkEnd w:id="0"/>
    </w:p>
    <w:p w14:paraId="262D221C" w14:textId="7273496E" w:rsidR="00B65DCB" w:rsidRPr="00F877D2" w:rsidRDefault="00467AA4" w:rsidP="00973B36">
      <w:pPr>
        <w:spacing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877D2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DD553" wp14:editId="48577E3E">
                <wp:simplePos x="0" y="0"/>
                <wp:positionH relativeFrom="column">
                  <wp:posOffset>1290955</wp:posOffset>
                </wp:positionH>
                <wp:positionV relativeFrom="paragraph">
                  <wp:posOffset>136112</wp:posOffset>
                </wp:positionV>
                <wp:extent cx="3505835" cy="3848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384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944E3" w14:textId="168C1348" w:rsidR="00022D41" w:rsidRPr="007750C9" w:rsidRDefault="00022D41" w:rsidP="007C64F8">
                            <w:pPr>
                              <w:jc w:val="center"/>
                              <w:rPr>
                                <w:rFonts w:ascii="Cambria" w:hAnsi="Cambria" w:cs="Times New Roman"/>
                                <w:lang w:val="en-US"/>
                              </w:rPr>
                            </w:pPr>
                            <w:r w:rsidRPr="007750C9">
                              <w:rPr>
                                <w:rFonts w:ascii="Cambria" w:hAnsi="Cambria" w:cs="Times New Roman"/>
                                <w:lang w:val="en-US"/>
                              </w:rPr>
                              <w:t>Central Asia Data Gathering and Analysis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2DD5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1.65pt;margin-top:10.7pt;width:276.05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" fillcolor="#d8d8d8 [2732]" stroked="f" strokeweight=".5pt">
                <v:textbox>
                  <w:txbxContent>
                    <w:p w14:paraId="223944E3" w14:textId="168C1348" w:rsidR="00022D41" w:rsidRPr="007750C9" w:rsidRDefault="00022D41" w:rsidP="007C64F8">
                      <w:pPr>
                        <w:jc w:val="center"/>
                        <w:rPr>
                          <w:rFonts w:ascii="Cambria" w:hAnsi="Cambria" w:cs="Times New Roman"/>
                          <w:lang w:val="en-US"/>
                        </w:rPr>
                      </w:pPr>
                      <w:r w:rsidRPr="007750C9">
                        <w:rPr>
                          <w:rFonts w:ascii="Cambria" w:hAnsi="Cambria" w:cs="Times New Roman"/>
                          <w:lang w:val="en-US"/>
                        </w:rPr>
                        <w:t>Central Asia Data Gathering and Analysis Team</w:t>
                      </w:r>
                    </w:p>
                  </w:txbxContent>
                </v:textbox>
              </v:shape>
            </w:pict>
          </mc:Fallback>
        </mc:AlternateContent>
      </w:r>
      <w:r w:rsidR="007C64F8" w:rsidRPr="00213ACD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654D9" wp14:editId="4BD4EC42">
                <wp:simplePos x="0" y="0"/>
                <wp:positionH relativeFrom="column">
                  <wp:posOffset>4888760</wp:posOffset>
                </wp:positionH>
                <wp:positionV relativeFrom="paragraph">
                  <wp:posOffset>164901</wp:posOffset>
                </wp:positionV>
                <wp:extent cx="823716" cy="3848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716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BD4CD" w14:textId="2D5755B0" w:rsidR="00022D41" w:rsidRPr="007C64F8" w:rsidRDefault="00022D41" w:rsidP="007C64F8">
                            <w:pPr>
                              <w:jc w:val="center"/>
                              <w:rPr>
                                <w:rFonts w:ascii="Arial Narrow" w:hAnsi="Arial Narrow" w:cs="Calibri Light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C64F8">
                              <w:rPr>
                                <w:rFonts w:ascii="Arial Narrow" w:hAnsi="Arial Narrow" w:cs="Calibri Light"/>
                                <w:sz w:val="28"/>
                                <w:szCs w:val="28"/>
                                <w:lang w:val="nb-NO"/>
                              </w:rPr>
                              <w:t>CADGAT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654D9" id="Text Box 8" o:spid="_x0000_s1027" type="#_x0000_t202" style="position:absolute;left:0;text-align:left;margin-left:384.95pt;margin-top:13pt;width:64.85pt;height:3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" filled="f" stroked="f" strokeweight=".5pt">
                <v:textbox>
                  <w:txbxContent>
                    <w:p w14:paraId="4B7BD4CD" w14:textId="2D5755B0" w:rsidR="00022D41" w:rsidRPr="007C64F8" w:rsidRDefault="00022D41" w:rsidP="007C64F8">
                      <w:pPr>
                        <w:jc w:val="center"/>
                        <w:rPr>
                          <w:rFonts w:ascii="Arial Narrow" w:hAnsi="Arial Narrow" w:cs="Calibri Light"/>
                          <w:sz w:val="28"/>
                          <w:szCs w:val="28"/>
                          <w:lang w:val="nb-NO"/>
                        </w:rPr>
                      </w:pPr>
                      <w:r w:rsidRPr="007C64F8">
                        <w:rPr>
                          <w:rFonts w:ascii="Arial Narrow" w:hAnsi="Arial Narrow" w:cs="Calibri Light"/>
                          <w:sz w:val="28"/>
                          <w:szCs w:val="28"/>
                          <w:lang w:val="nb-NO"/>
                        </w:rPr>
                        <w:t>CADGAT</w:t>
                      </w:r>
                    </w:p>
                  </w:txbxContent>
                </v:textbox>
              </v:shape>
            </w:pict>
          </mc:Fallback>
        </mc:AlternateContent>
      </w:r>
      <w:r w:rsidR="00B65DCB" w:rsidRPr="00213ACD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D2032" wp14:editId="5CD13327">
                <wp:simplePos x="0" y="0"/>
                <wp:positionH relativeFrom="column">
                  <wp:posOffset>0</wp:posOffset>
                </wp:positionH>
                <wp:positionV relativeFrom="paragraph">
                  <wp:posOffset>33592</wp:posOffset>
                </wp:positionV>
                <wp:extent cx="5773420" cy="0"/>
                <wp:effectExtent l="0" t="0" r="1778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305A7E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5pt" to="454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" strokecolor="black [3040]" strokeweight=".25pt"/>
            </w:pict>
          </mc:Fallback>
        </mc:AlternateContent>
      </w:r>
      <w:r w:rsidR="00B65DCB" w:rsidRPr="00213ACD">
        <w:rPr>
          <w:rFonts w:ascii="Cambria" w:hAnsi="Cambria" w:cs="Times New Roman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3219DBC" wp14:editId="1954A3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8235" cy="328295"/>
            <wp:effectExtent l="0" t="0" r="0" b="0"/>
            <wp:wrapNone/>
            <wp:docPr id="3" name="Picture 3" descr="C:\Users\Tatiana\Desktop\downloads\NEW LOGO\for web\web-OSCE-Academy-255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downloads\NEW LOGO\for web\web-OSCE-Academy-255x7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09693" w14:textId="74365598" w:rsidR="006A525D" w:rsidRPr="00F877D2" w:rsidRDefault="007C64F8" w:rsidP="00973B36">
      <w:pPr>
        <w:pStyle w:val="Default"/>
        <w:rPr>
          <w:rFonts w:ascii="Cambria" w:hAnsi="Cambria" w:cs="Times New Roman"/>
          <w:lang w:val="en-US"/>
        </w:rPr>
      </w:pPr>
      <w:r w:rsidRPr="00F877D2">
        <w:rPr>
          <w:rFonts w:ascii="Cambria" w:eastAsia="Times New Roman" w:hAnsi="Cambria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8E35A61" wp14:editId="491744D6">
            <wp:simplePos x="0" y="0"/>
            <wp:positionH relativeFrom="column">
              <wp:posOffset>-22225</wp:posOffset>
            </wp:positionH>
            <wp:positionV relativeFrom="paragraph">
              <wp:posOffset>94452</wp:posOffset>
            </wp:positionV>
            <wp:extent cx="982345" cy="307340"/>
            <wp:effectExtent l="0" t="0" r="0" b="0"/>
            <wp:wrapNone/>
            <wp:docPr id="1" name="Picture 1" descr="https://www.nupi.no/var/nupi/storage/images/media/images/logoer/nupi_logo_english_rgb/276703-2-nor-NO/nupi_logo_english_rgb_editor_artik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pi.no/var/nupi/storage/images/media/images/logoer/nupi_logo_english_rgb/276703-2-nor-NO/nupi_logo_english_rgb_editor_artikk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DCB" w:rsidRPr="00213ACD">
        <w:rPr>
          <w:rFonts w:ascii="Cambria" w:eastAsia="Times New Roman" w:hAnsi="Cambria" w:cs="Times New Roman"/>
          <w:lang w:val="en-US"/>
        </w:rPr>
        <w:fldChar w:fldCharType="begin"/>
      </w:r>
      <w:r w:rsidR="00B65DCB" w:rsidRPr="00213ACD">
        <w:rPr>
          <w:rFonts w:ascii="Cambria" w:eastAsia="Times New Roman" w:hAnsi="Cambria" w:cs="Times New Roman"/>
          <w:lang w:val="en-US"/>
        </w:rPr>
        <w:instrText xml:space="preserve"> INCLUDEPICTURE "https://www.nupi.no/var/nupi/storage/images/media/images/logoer/nupi_logo_english_rgb/276703-2-nor-NO/nupi_logo_english_rgb_editor_artikkel.png" \* MERGEFORMATINET </w:instrText>
      </w:r>
      <w:r w:rsidR="00B65DCB" w:rsidRPr="00213ACD">
        <w:rPr>
          <w:rFonts w:ascii="Cambria" w:eastAsia="Times New Roman" w:hAnsi="Cambria" w:cs="Times New Roman"/>
          <w:lang w:val="en-US"/>
        </w:rPr>
        <w:fldChar w:fldCharType="end"/>
      </w:r>
    </w:p>
    <w:p w14:paraId="2E3D7F9D" w14:textId="1AC32CD4" w:rsidR="006A525D" w:rsidRPr="00213ACD" w:rsidRDefault="006A525D" w:rsidP="00973B36">
      <w:pPr>
        <w:pStyle w:val="Default"/>
        <w:rPr>
          <w:rFonts w:ascii="Cambria" w:hAnsi="Cambria" w:cs="Times New Roman"/>
          <w:lang w:val="en-US"/>
        </w:rPr>
      </w:pPr>
    </w:p>
    <w:p w14:paraId="0FDED440" w14:textId="27723853" w:rsidR="006A525D" w:rsidRPr="00F877D2" w:rsidRDefault="00B65DCB" w:rsidP="00973B36">
      <w:pPr>
        <w:pStyle w:val="Default"/>
        <w:rPr>
          <w:rFonts w:ascii="Cambria" w:hAnsi="Cambria" w:cs="Calibri Light"/>
          <w:lang w:val="en-US"/>
        </w:rPr>
      </w:pPr>
      <w:r w:rsidRPr="00F877D2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0DA40" wp14:editId="163D5D94">
                <wp:simplePos x="0" y="0"/>
                <wp:positionH relativeFrom="column">
                  <wp:posOffset>-635</wp:posOffset>
                </wp:positionH>
                <wp:positionV relativeFrom="paragraph">
                  <wp:posOffset>74132</wp:posOffset>
                </wp:positionV>
                <wp:extent cx="5773420" cy="0"/>
                <wp:effectExtent l="0" t="1270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07D49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.85pt" to="454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" strokecolor="black [3040]" strokeweight="2.25pt"/>
            </w:pict>
          </mc:Fallback>
        </mc:AlternateContent>
      </w:r>
    </w:p>
    <w:p w14:paraId="2515A25A" w14:textId="77777777" w:rsidR="00467AA4" w:rsidRPr="00213ACD" w:rsidRDefault="00467AA4" w:rsidP="00A4168C">
      <w:pPr>
        <w:pStyle w:val="Default"/>
        <w:rPr>
          <w:rFonts w:ascii="Cambria" w:hAnsi="Cambria" w:cs="Times New Roman"/>
          <w:lang w:val="en-US"/>
        </w:rPr>
      </w:pPr>
    </w:p>
    <w:p w14:paraId="728146EE" w14:textId="59C5AA19" w:rsidR="006A525D" w:rsidRPr="00213ACD" w:rsidRDefault="00FD6F62" w:rsidP="00973B36">
      <w:pPr>
        <w:pStyle w:val="Default"/>
        <w:rPr>
          <w:rFonts w:ascii="Cambria" w:hAnsi="Cambria" w:cs="Times New Roman"/>
          <w:sz w:val="32"/>
          <w:szCs w:val="32"/>
          <w:lang w:val="en-US"/>
        </w:rPr>
      </w:pPr>
      <w:r w:rsidRPr="00213ACD">
        <w:rPr>
          <w:rFonts w:ascii="Cambria" w:hAnsi="Cambria" w:cs="Times New Roman"/>
          <w:sz w:val="32"/>
          <w:szCs w:val="32"/>
          <w:lang w:val="en-US"/>
        </w:rPr>
        <w:t xml:space="preserve">Renewable </w:t>
      </w:r>
      <w:r w:rsidR="006F11F7">
        <w:rPr>
          <w:rFonts w:ascii="Cambria" w:hAnsi="Cambria" w:cs="Times New Roman"/>
          <w:sz w:val="32"/>
          <w:szCs w:val="32"/>
          <w:lang w:val="en-US"/>
        </w:rPr>
        <w:t>E</w:t>
      </w:r>
      <w:r w:rsidRPr="00213ACD">
        <w:rPr>
          <w:rFonts w:ascii="Cambria" w:hAnsi="Cambria" w:cs="Times New Roman"/>
          <w:sz w:val="32"/>
          <w:szCs w:val="32"/>
          <w:lang w:val="en-US"/>
        </w:rPr>
        <w:t xml:space="preserve">nergy </w:t>
      </w:r>
      <w:r w:rsidR="006F11F7">
        <w:rPr>
          <w:rFonts w:ascii="Cambria" w:hAnsi="Cambria" w:cs="Times New Roman"/>
          <w:sz w:val="32"/>
          <w:szCs w:val="32"/>
          <w:lang w:val="en-US"/>
        </w:rPr>
        <w:t>P</w:t>
      </w:r>
      <w:r w:rsidRPr="00213ACD">
        <w:rPr>
          <w:rFonts w:ascii="Cambria" w:hAnsi="Cambria" w:cs="Times New Roman"/>
          <w:sz w:val="32"/>
          <w:szCs w:val="32"/>
          <w:lang w:val="en-US"/>
        </w:rPr>
        <w:t>olicies</w:t>
      </w:r>
      <w:r w:rsidR="00DF18F7" w:rsidRPr="00213ACD">
        <w:rPr>
          <w:rFonts w:ascii="Cambria" w:hAnsi="Cambria" w:cs="Times New Roman"/>
          <w:sz w:val="32"/>
          <w:szCs w:val="32"/>
          <w:lang w:val="en-US"/>
        </w:rPr>
        <w:t xml:space="preserve"> of </w:t>
      </w:r>
      <w:r w:rsidR="005A288D" w:rsidRPr="00213ACD">
        <w:rPr>
          <w:rFonts w:ascii="Cambria" w:hAnsi="Cambria" w:cs="Times New Roman"/>
          <w:sz w:val="32"/>
          <w:szCs w:val="32"/>
          <w:lang w:val="en-US"/>
        </w:rPr>
        <w:t xml:space="preserve">the </w:t>
      </w:r>
      <w:r w:rsidR="007C64F8" w:rsidRPr="00213ACD">
        <w:rPr>
          <w:rFonts w:ascii="Cambria" w:hAnsi="Cambria" w:cs="Times New Roman"/>
          <w:sz w:val="32"/>
          <w:szCs w:val="32"/>
          <w:lang w:val="en-US"/>
        </w:rPr>
        <w:t>Central Asia</w:t>
      </w:r>
      <w:r w:rsidR="00DF18F7" w:rsidRPr="00213ACD">
        <w:rPr>
          <w:rFonts w:ascii="Cambria" w:hAnsi="Cambria" w:cs="Times New Roman"/>
          <w:sz w:val="32"/>
          <w:szCs w:val="32"/>
          <w:lang w:val="en-US"/>
        </w:rPr>
        <w:t xml:space="preserve">n </w:t>
      </w:r>
      <w:r w:rsidR="006F11F7">
        <w:rPr>
          <w:rFonts w:ascii="Cambria" w:hAnsi="Cambria" w:cs="Times New Roman"/>
          <w:sz w:val="32"/>
          <w:szCs w:val="32"/>
          <w:lang w:val="en-US"/>
        </w:rPr>
        <w:t>C</w:t>
      </w:r>
      <w:r w:rsidR="00DF18F7" w:rsidRPr="00213ACD">
        <w:rPr>
          <w:rFonts w:ascii="Cambria" w:hAnsi="Cambria" w:cs="Times New Roman"/>
          <w:sz w:val="32"/>
          <w:szCs w:val="32"/>
          <w:lang w:val="en-US"/>
        </w:rPr>
        <w:t>ountries</w:t>
      </w:r>
    </w:p>
    <w:p w14:paraId="4E1BAB53" w14:textId="77777777" w:rsidR="00467AA4" w:rsidRPr="00213ACD" w:rsidRDefault="00467AA4" w:rsidP="00973B36">
      <w:pPr>
        <w:pStyle w:val="Default"/>
        <w:jc w:val="center"/>
        <w:rPr>
          <w:rFonts w:ascii="Cambria" w:hAnsi="Cambria" w:cs="Times New Roman"/>
          <w:sz w:val="32"/>
          <w:lang w:val="en-US"/>
        </w:rPr>
      </w:pPr>
    </w:p>
    <w:p w14:paraId="0E8C481D" w14:textId="7EAE26F1" w:rsidR="00803508" w:rsidRPr="00FD52CA" w:rsidRDefault="00803508" w:rsidP="00803508">
      <w:pPr>
        <w:pStyle w:val="Default"/>
        <w:rPr>
          <w:rFonts w:ascii="Cambria" w:hAnsi="Cambria" w:cs="Times New Roman"/>
          <w:lang w:val="en-US"/>
        </w:rPr>
      </w:pPr>
      <w:proofErr w:type="spellStart"/>
      <w:r w:rsidRPr="00FD52CA">
        <w:rPr>
          <w:rFonts w:ascii="Cambria" w:hAnsi="Cambria" w:cs="Times New Roman"/>
          <w:lang w:val="en-US"/>
        </w:rPr>
        <w:t>Bahtiyor</w:t>
      </w:r>
      <w:proofErr w:type="spellEnd"/>
      <w:r w:rsidRPr="00FD52CA">
        <w:rPr>
          <w:rFonts w:ascii="Cambria" w:hAnsi="Cambria" w:cs="Times New Roman"/>
          <w:lang w:val="en-US"/>
        </w:rPr>
        <w:t xml:space="preserve"> </w:t>
      </w:r>
      <w:proofErr w:type="spellStart"/>
      <w:r w:rsidRPr="00FD52CA">
        <w:rPr>
          <w:rFonts w:ascii="Cambria" w:hAnsi="Cambria" w:cs="Times New Roman"/>
          <w:lang w:val="en-US"/>
        </w:rPr>
        <w:t>Eshchanov</w:t>
      </w:r>
      <w:proofErr w:type="spellEnd"/>
      <w:r w:rsidRPr="00FD52CA">
        <w:rPr>
          <w:rFonts w:ascii="Cambria" w:hAnsi="Cambria" w:cs="Times New Roman"/>
          <w:lang w:val="en-US"/>
        </w:rPr>
        <w:t>,</w:t>
      </w:r>
      <w:proofErr w:type="spellStart"/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a,b</w:t>
      </w:r>
      <w:proofErr w:type="spellEnd"/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*</w:t>
      </w:r>
      <w:r w:rsidRPr="00FD52CA">
        <w:rPr>
          <w:rFonts w:ascii="Cambria" w:hAnsi="Cambria" w:cs="Times New Roman"/>
          <w:lang w:val="en-US"/>
        </w:rPr>
        <w:t xml:space="preserve"> Alina </w:t>
      </w:r>
      <w:proofErr w:type="spellStart"/>
      <w:r w:rsidRPr="00FD52CA">
        <w:rPr>
          <w:rFonts w:ascii="Cambria" w:hAnsi="Cambria" w:cs="Times New Roman"/>
          <w:lang w:val="en-US"/>
        </w:rPr>
        <w:t>Abylkasymova</w:t>
      </w:r>
      <w:proofErr w:type="spellEnd"/>
      <w:r w:rsidRPr="00FD52CA">
        <w:rPr>
          <w:rFonts w:ascii="Cambria" w:hAnsi="Cambria" w:cs="Times New Roman"/>
          <w:lang w:val="en-US"/>
        </w:rPr>
        <w:t>,</w:t>
      </w:r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 w:rsidRPr="00FD52CA">
        <w:rPr>
          <w:rFonts w:ascii="Cambria" w:hAnsi="Cambria" w:cs="Times New Roman"/>
          <w:lang w:val="en-US"/>
        </w:rPr>
        <w:t xml:space="preserve"> </w:t>
      </w:r>
      <w:proofErr w:type="spellStart"/>
      <w:r w:rsidRPr="00FD52CA">
        <w:rPr>
          <w:rFonts w:ascii="Cambria" w:hAnsi="Cambria" w:cs="Times New Roman"/>
          <w:lang w:val="en-US"/>
        </w:rPr>
        <w:t>Farkhod</w:t>
      </w:r>
      <w:proofErr w:type="spellEnd"/>
      <w:r w:rsidRPr="00FD52CA">
        <w:rPr>
          <w:rFonts w:ascii="Cambria" w:hAnsi="Cambria" w:cs="Times New Roman"/>
          <w:lang w:val="en-US"/>
        </w:rPr>
        <w:t xml:space="preserve"> </w:t>
      </w:r>
      <w:proofErr w:type="spellStart"/>
      <w:r w:rsidRPr="00FD52CA">
        <w:rPr>
          <w:rFonts w:ascii="Cambria" w:hAnsi="Cambria" w:cs="Times New Roman"/>
          <w:lang w:val="en-US"/>
        </w:rPr>
        <w:t>Aminjonov</w:t>
      </w:r>
      <w:proofErr w:type="spellEnd"/>
      <w:r w:rsidRPr="00FD52CA">
        <w:rPr>
          <w:rFonts w:ascii="Cambria" w:hAnsi="Cambria" w:cs="Times New Roman"/>
          <w:lang w:val="en-US"/>
        </w:rPr>
        <w:t>,</w:t>
      </w:r>
      <w:proofErr w:type="spellStart"/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b,c</w:t>
      </w:r>
      <w:proofErr w:type="spellEnd"/>
      <w:r w:rsidRPr="00FD52CA">
        <w:rPr>
          <w:rFonts w:ascii="Cambria" w:hAnsi="Cambria" w:cs="Times New Roman"/>
          <w:lang w:val="en-US"/>
        </w:rPr>
        <w:t xml:space="preserve"> Dani</w:t>
      </w:r>
      <w:r>
        <w:rPr>
          <w:rFonts w:ascii="Cambria" w:hAnsi="Cambria" w:cs="Times New Roman"/>
          <w:lang w:val="en-US"/>
        </w:rPr>
        <w:t>y</w:t>
      </w:r>
      <w:r w:rsidRPr="00FD52CA">
        <w:rPr>
          <w:rFonts w:ascii="Cambria" w:hAnsi="Cambria" w:cs="Times New Roman"/>
          <w:lang w:val="en-US"/>
        </w:rPr>
        <w:t xml:space="preserve">ar </w:t>
      </w:r>
      <w:proofErr w:type="spellStart"/>
      <w:r w:rsidRPr="00FD52CA">
        <w:rPr>
          <w:rFonts w:ascii="Cambria" w:hAnsi="Cambria" w:cs="Times New Roman"/>
          <w:lang w:val="en-US"/>
        </w:rPr>
        <w:t>Moldokanov</w:t>
      </w:r>
      <w:proofErr w:type="spellEnd"/>
      <w:r w:rsidRPr="00FD52CA">
        <w:rPr>
          <w:rFonts w:ascii="Cambria" w:hAnsi="Cambria" w:cs="Times New Roman"/>
          <w:lang w:val="en-US"/>
        </w:rPr>
        <w:t>,</w:t>
      </w:r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 w:rsidRPr="00FD52CA">
        <w:rPr>
          <w:rFonts w:ascii="Cambria" w:hAnsi="Cambria" w:cs="Times New Roman"/>
          <w:lang w:val="en-US"/>
        </w:rPr>
        <w:t xml:space="preserve"> </w:t>
      </w:r>
      <w:proofErr w:type="spellStart"/>
      <w:r w:rsidRPr="00FD52CA">
        <w:rPr>
          <w:rFonts w:ascii="Cambria" w:hAnsi="Cambria" w:cs="Times New Roman"/>
          <w:lang w:val="en-US"/>
        </w:rPr>
        <w:t>Indra</w:t>
      </w:r>
      <w:proofErr w:type="spellEnd"/>
      <w:r w:rsidRPr="00FD52CA">
        <w:rPr>
          <w:rFonts w:ascii="Cambria" w:hAnsi="Cambria" w:cs="Times New Roman"/>
          <w:lang w:val="en-US"/>
        </w:rPr>
        <w:t xml:space="preserve"> Overland,</w:t>
      </w:r>
      <w:proofErr w:type="spellStart"/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,d</w:t>
      </w:r>
      <w:proofErr w:type="spellEnd"/>
      <w:r w:rsidRPr="00FD52CA">
        <w:rPr>
          <w:rFonts w:ascii="Cambria" w:hAnsi="Cambria" w:cs="Times New Roman"/>
          <w:lang w:val="en-US"/>
        </w:rPr>
        <w:t xml:space="preserve"> Roman </w:t>
      </w:r>
      <w:proofErr w:type="spellStart"/>
      <w:r w:rsidRPr="00FD52CA">
        <w:rPr>
          <w:rFonts w:ascii="Cambria" w:hAnsi="Cambria" w:cs="Times New Roman"/>
          <w:lang w:val="en-US"/>
        </w:rPr>
        <w:t>Vakulchuk</w:t>
      </w:r>
      <w:proofErr w:type="spellEnd"/>
      <w:r w:rsidRPr="00FD52CA">
        <w:rPr>
          <w:rFonts w:ascii="Cambria" w:hAnsi="Cambria" w:cs="Times New Roman"/>
          <w:position w:val="4"/>
          <w:vertAlign w:val="superscript"/>
          <w:lang w:val="en-US"/>
        </w:rPr>
        <w:t xml:space="preserve"> </w:t>
      </w:r>
      <w:proofErr w:type="spellStart"/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,d</w:t>
      </w:r>
      <w:proofErr w:type="spellEnd"/>
      <w:r w:rsidRPr="00FD52CA">
        <w:rPr>
          <w:rFonts w:ascii="Cambria" w:hAnsi="Cambria" w:cs="Times New Roman"/>
          <w:lang w:val="en-US"/>
        </w:rPr>
        <w:t xml:space="preserve"> </w:t>
      </w:r>
    </w:p>
    <w:p w14:paraId="36B7422C" w14:textId="77777777" w:rsidR="00803508" w:rsidRPr="00FD52CA" w:rsidRDefault="00803508" w:rsidP="00803508">
      <w:pPr>
        <w:pStyle w:val="Default"/>
        <w:rPr>
          <w:rFonts w:ascii="Cambria" w:hAnsi="Cambria" w:cs="Times New Roman"/>
          <w:lang w:val="en-US"/>
        </w:rPr>
      </w:pPr>
    </w:p>
    <w:p w14:paraId="595D061B" w14:textId="7049417E" w:rsidR="00803508" w:rsidRPr="00FD52CA" w:rsidRDefault="00803508" w:rsidP="00803508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proofErr w:type="gramStart"/>
      <w:r>
        <w:rPr>
          <w:rFonts w:ascii="Cambria" w:hAnsi="Cambria" w:cs="Times New Roman"/>
          <w:color w:val="0070C0"/>
          <w:vertAlign w:val="superscript"/>
          <w:lang w:val="en-US"/>
        </w:rPr>
        <w:t>a</w:t>
      </w:r>
      <w:proofErr w:type="gramEnd"/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Westminster International University in Tashkent</w:t>
      </w:r>
    </w:p>
    <w:p w14:paraId="544BC790" w14:textId="77777777" w:rsidR="00803508" w:rsidRPr="00FD52CA" w:rsidRDefault="00803508" w:rsidP="00803508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proofErr w:type="gramStart"/>
      <w:r w:rsidRPr="00FD52CA">
        <w:rPr>
          <w:rFonts w:ascii="Cambria" w:hAnsi="Cambria" w:cs="Times New Roman"/>
          <w:color w:val="0070C0"/>
          <w:vertAlign w:val="superscript"/>
          <w:lang w:val="en-US"/>
        </w:rPr>
        <w:t>b</w:t>
      </w:r>
      <w:proofErr w:type="gramEnd"/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</w:t>
      </w:r>
      <w:r>
        <w:rPr>
          <w:rFonts w:ascii="Cambria" w:hAnsi="Cambria" w:cs="Times New Roman"/>
          <w:i/>
          <w:sz w:val="18"/>
          <w:szCs w:val="18"/>
          <w:lang w:val="en-US"/>
        </w:rPr>
        <w:t xml:space="preserve">Central Asia Data Gathering and Analysis Team (CADGAT) </w:t>
      </w:r>
    </w:p>
    <w:p w14:paraId="44C9ECF3" w14:textId="6B107835" w:rsidR="00803508" w:rsidRPr="00D84B96" w:rsidRDefault="00803508" w:rsidP="00803508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proofErr w:type="gramStart"/>
      <w:r>
        <w:rPr>
          <w:rFonts w:ascii="Cambria" w:hAnsi="Cambria" w:cs="Times New Roman"/>
          <w:color w:val="0070C0"/>
          <w:vertAlign w:val="superscript"/>
          <w:lang w:val="en-US"/>
        </w:rPr>
        <w:t>c</w:t>
      </w:r>
      <w:proofErr w:type="gramEnd"/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College of Humanities and Social Sciences, Zayed University</w:t>
      </w:r>
    </w:p>
    <w:p w14:paraId="3071FAE3" w14:textId="77777777" w:rsidR="00803508" w:rsidRPr="00FD52CA" w:rsidRDefault="00803508" w:rsidP="00803508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proofErr w:type="gramStart"/>
      <w:r>
        <w:rPr>
          <w:rFonts w:ascii="Cambria" w:hAnsi="Cambria" w:cs="Times New Roman"/>
          <w:color w:val="0070C0"/>
          <w:vertAlign w:val="superscript"/>
          <w:lang w:val="en-US"/>
        </w:rPr>
        <w:t>d</w:t>
      </w:r>
      <w:proofErr w:type="gramEnd"/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Norwegian Institute of International Affairs (NUPI)</w:t>
      </w:r>
    </w:p>
    <w:p w14:paraId="6C48FACC" w14:textId="689AA00F" w:rsidR="0032786F" w:rsidRPr="00F877D2" w:rsidRDefault="00803508" w:rsidP="005C1E5D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r w:rsidRPr="00FD52CA">
        <w:rPr>
          <w:rFonts w:ascii="Cambria" w:hAnsi="Cambria" w:cs="Times New Roman"/>
          <w:color w:val="0070C0"/>
          <w:vertAlign w:val="superscript"/>
          <w:lang w:val="en-US"/>
        </w:rPr>
        <w:t>*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Corresponding author: </w:t>
      </w:r>
      <w:r>
        <w:rPr>
          <w:rFonts w:ascii="Cambria" w:hAnsi="Cambria" w:cs="Times New Roman"/>
          <w:i/>
          <w:sz w:val="18"/>
          <w:szCs w:val="18"/>
          <w:lang w:val="en-US"/>
        </w:rPr>
        <w:t xml:space="preserve">B. </w:t>
      </w:r>
      <w:proofErr w:type="spellStart"/>
      <w:r>
        <w:rPr>
          <w:rFonts w:ascii="Cambria" w:hAnsi="Cambria" w:cs="Times New Roman"/>
          <w:i/>
          <w:sz w:val="18"/>
          <w:szCs w:val="18"/>
          <w:lang w:val="en-US"/>
        </w:rPr>
        <w:t>Eshchanov</w:t>
      </w:r>
      <w:proofErr w:type="spellEnd"/>
      <w:r w:rsidR="00692F9E">
        <w:rPr>
          <w:rFonts w:ascii="Cambria" w:hAnsi="Cambria" w:cs="Times New Roman"/>
          <w:i/>
          <w:sz w:val="18"/>
          <w:szCs w:val="18"/>
          <w:lang w:val="en-US"/>
        </w:rPr>
        <w:t>;</w:t>
      </w:r>
      <w:r w:rsidR="00CA361B">
        <w:rPr>
          <w:rFonts w:ascii="Cambria" w:hAnsi="Cambria" w:cs="Times New Roman"/>
          <w:i/>
          <w:sz w:val="18"/>
          <w:szCs w:val="18"/>
          <w:lang w:val="en-US"/>
        </w:rPr>
        <w:t xml:space="preserve"> </w:t>
      </w:r>
      <w:r w:rsidR="00692F9E">
        <w:rPr>
          <w:rFonts w:ascii="Cambria" w:hAnsi="Cambria" w:cs="Times New Roman"/>
          <w:i/>
          <w:sz w:val="18"/>
          <w:szCs w:val="18"/>
          <w:lang w:val="en-US"/>
        </w:rPr>
        <w:t>E</w:t>
      </w:r>
      <w:r w:rsidR="00436E3E">
        <w:rPr>
          <w:rFonts w:ascii="Cambria" w:hAnsi="Cambria" w:cs="Times New Roman"/>
          <w:i/>
          <w:sz w:val="18"/>
          <w:szCs w:val="18"/>
          <w:lang w:val="en-US"/>
        </w:rPr>
        <w:t xml:space="preserve">mail address: </w:t>
      </w:r>
      <w:r w:rsidR="005C1E5D" w:rsidRPr="005C1E5D">
        <w:rPr>
          <w:rFonts w:ascii="Cambria" w:hAnsi="Cambria" w:cs="Times New Roman"/>
          <w:i/>
          <w:sz w:val="18"/>
          <w:szCs w:val="18"/>
          <w:lang w:val="en-US"/>
        </w:rPr>
        <w:t>beshchanov@wiut.uz</w:t>
      </w:r>
      <w:r w:rsidR="005C1E5D">
        <w:rPr>
          <w:rFonts w:ascii="Cambria" w:hAnsi="Cambria" w:cs="Times New Roman"/>
          <w:i/>
          <w:sz w:val="18"/>
          <w:szCs w:val="18"/>
          <w:lang w:val="en-US"/>
        </w:rPr>
        <w:t xml:space="preserve">; </w:t>
      </w:r>
      <w:r w:rsidR="005C1E5D" w:rsidRPr="005C1E5D">
        <w:rPr>
          <w:rFonts w:ascii="Cambria" w:hAnsi="Cambria" w:cs="Times New Roman"/>
          <w:i/>
          <w:sz w:val="18"/>
          <w:szCs w:val="18"/>
          <w:lang w:val="en-US"/>
        </w:rPr>
        <w:t>bahtiyor.eshchanov@gmail.com</w:t>
      </w:r>
    </w:p>
    <w:p w14:paraId="0AF42128" w14:textId="28C3B72B" w:rsidR="00467AA4" w:rsidRPr="00213ACD" w:rsidRDefault="00467AA4" w:rsidP="0032786F">
      <w:pPr>
        <w:pStyle w:val="Default"/>
        <w:rPr>
          <w:rFonts w:ascii="Cambria" w:hAnsi="Cambria" w:cs="Times New Roman"/>
          <w:i/>
          <w:sz w:val="18"/>
          <w:szCs w:val="18"/>
          <w:lang w:val="en-US"/>
        </w:rPr>
      </w:pPr>
    </w:p>
    <w:p w14:paraId="7756B4A0" w14:textId="77777777" w:rsidR="0096146D" w:rsidRPr="00213ACD" w:rsidRDefault="0096146D" w:rsidP="0032786F">
      <w:pPr>
        <w:pStyle w:val="Default"/>
        <w:rPr>
          <w:rFonts w:ascii="Cambria" w:hAnsi="Cambria" w:cs="Times New Roman"/>
          <w:i/>
          <w:sz w:val="18"/>
          <w:szCs w:val="18"/>
          <w:lang w:val="en-US"/>
        </w:rPr>
      </w:pPr>
    </w:p>
    <w:p w14:paraId="56D7B51B" w14:textId="60681C05" w:rsidR="008E4944" w:rsidRPr="00F877D2" w:rsidRDefault="008E4944" w:rsidP="00973B36">
      <w:pPr>
        <w:pStyle w:val="Default"/>
        <w:rPr>
          <w:rFonts w:ascii="Cambria" w:hAnsi="Cambria" w:cs="Times New Roman"/>
          <w:sz w:val="32"/>
          <w:lang w:val="en-US"/>
        </w:rPr>
      </w:pPr>
      <w:r w:rsidRPr="00F877D2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316A7" wp14:editId="4BE51BFE">
                <wp:simplePos x="0" y="0"/>
                <wp:positionH relativeFrom="column">
                  <wp:posOffset>1270</wp:posOffset>
                </wp:positionH>
                <wp:positionV relativeFrom="paragraph">
                  <wp:posOffset>57509</wp:posOffset>
                </wp:positionV>
                <wp:extent cx="5773420" cy="0"/>
                <wp:effectExtent l="0" t="0" r="1778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2FFC50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4.55pt" to="45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" strokecolor="black [3040]" strokeweight=".25pt"/>
            </w:pict>
          </mc:Fallback>
        </mc:AlternateContent>
      </w:r>
    </w:p>
    <w:p w14:paraId="6E4D7413" w14:textId="797408D3" w:rsidR="008E4944" w:rsidRPr="00213ACD" w:rsidRDefault="008E4944" w:rsidP="00973B36">
      <w:pPr>
        <w:pStyle w:val="Default"/>
        <w:rPr>
          <w:rFonts w:ascii="Cambria" w:hAnsi="Cambria" w:cs="Times New Roman"/>
          <w:sz w:val="20"/>
          <w:szCs w:val="20"/>
          <w:lang w:val="en-US"/>
        </w:rPr>
      </w:pPr>
      <w:r w:rsidRPr="00213ACD">
        <w:rPr>
          <w:rFonts w:ascii="Cambria" w:hAnsi="Cambria" w:cs="Times New Roman"/>
          <w:sz w:val="20"/>
          <w:szCs w:val="20"/>
          <w:lang w:val="en-US"/>
        </w:rPr>
        <w:t>A B S T R A C T</w:t>
      </w:r>
    </w:p>
    <w:p w14:paraId="5C883FE3" w14:textId="6261230E" w:rsidR="006A525D" w:rsidRPr="00F877D2" w:rsidRDefault="008E4944" w:rsidP="00973B36">
      <w:pPr>
        <w:pStyle w:val="Default"/>
        <w:rPr>
          <w:rFonts w:ascii="Cambria" w:hAnsi="Cambria" w:cs="Times New Roman"/>
          <w:sz w:val="32"/>
          <w:lang w:val="en-US"/>
        </w:rPr>
      </w:pPr>
      <w:r w:rsidRPr="00F877D2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EC64F" wp14:editId="050D9AC1">
                <wp:simplePos x="0" y="0"/>
                <wp:positionH relativeFrom="column">
                  <wp:posOffset>0</wp:posOffset>
                </wp:positionH>
                <wp:positionV relativeFrom="paragraph">
                  <wp:posOffset>141082</wp:posOffset>
                </wp:positionV>
                <wp:extent cx="5773420" cy="0"/>
                <wp:effectExtent l="0" t="0" r="1778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013C38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1pt" to="454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" strokecolor="black [3040]" strokeweight=".25pt"/>
            </w:pict>
          </mc:Fallback>
        </mc:AlternateContent>
      </w:r>
    </w:p>
    <w:p w14:paraId="5F454E79" w14:textId="2BEC5E05" w:rsidR="006A525D" w:rsidRPr="00213ACD" w:rsidRDefault="004D5FB5" w:rsidP="00E46925">
      <w:pPr>
        <w:pStyle w:val="Default"/>
        <w:jc w:val="both"/>
        <w:rPr>
          <w:rFonts w:ascii="Cambria" w:hAnsi="Cambria" w:cs="Times New Roman"/>
          <w:sz w:val="18"/>
          <w:szCs w:val="18"/>
          <w:lang w:val="en-US"/>
        </w:rPr>
      </w:pPr>
      <w:r w:rsidRPr="00213ACD">
        <w:rPr>
          <w:rFonts w:ascii="Cambria" w:hAnsi="Cambria" w:cs="Times New Roman"/>
          <w:sz w:val="18"/>
          <w:szCs w:val="18"/>
          <w:lang w:val="en-US"/>
        </w:rPr>
        <w:t xml:space="preserve">This data article surveys the government policies in support of renewable energy in </w:t>
      </w:r>
      <w:r w:rsidR="00935C09" w:rsidRPr="00213ACD">
        <w:rPr>
          <w:rFonts w:ascii="Cambria" w:hAnsi="Cambria" w:cs="Times New Roman"/>
          <w:sz w:val="18"/>
          <w:szCs w:val="18"/>
          <w:lang w:val="en-US"/>
        </w:rPr>
        <w:t>the five Central Asian republics: Kazakhstan, Kyrgyzstan, Tajikistan, Turkmenistan</w:t>
      </w:r>
      <w:r w:rsidRPr="00213ACD">
        <w:rPr>
          <w:rFonts w:ascii="Cambria" w:hAnsi="Cambria" w:cs="Times New Roman"/>
          <w:sz w:val="18"/>
          <w:szCs w:val="18"/>
          <w:lang w:val="en-US"/>
        </w:rPr>
        <w:t>,</w:t>
      </w:r>
      <w:r w:rsidR="00935C09" w:rsidRPr="00213ACD">
        <w:rPr>
          <w:rFonts w:ascii="Cambria" w:hAnsi="Cambria" w:cs="Times New Roman"/>
          <w:sz w:val="18"/>
          <w:szCs w:val="18"/>
          <w:lang w:val="en-US"/>
        </w:rPr>
        <w:t xml:space="preserve"> and Uzbekistan. It</w:t>
      </w:r>
      <w:r w:rsidR="004438A1">
        <w:rPr>
          <w:rFonts w:ascii="Cambria" w:hAnsi="Cambria" w:cs="Times New Roman"/>
          <w:sz w:val="18"/>
          <w:szCs w:val="18"/>
          <w:lang w:val="en-US"/>
        </w:rPr>
        <w:t xml:space="preserve"> begins</w:t>
      </w:r>
      <w:r w:rsidR="00935C09" w:rsidRPr="00213ACD">
        <w:rPr>
          <w:rFonts w:ascii="Cambria" w:hAnsi="Cambria" w:cs="Times New Roman"/>
          <w:sz w:val="18"/>
          <w:szCs w:val="18"/>
          <w:lang w:val="en-US"/>
        </w:rPr>
        <w:t xml:space="preserve"> </w:t>
      </w:r>
      <w:r w:rsidRPr="00213ACD">
        <w:rPr>
          <w:rFonts w:ascii="Cambria" w:hAnsi="Cambria" w:cs="Times New Roman"/>
          <w:sz w:val="18"/>
          <w:szCs w:val="18"/>
          <w:lang w:val="en-US"/>
        </w:rPr>
        <w:t xml:space="preserve">by </w:t>
      </w:r>
      <w:r w:rsidR="00935C09" w:rsidRPr="00213ACD">
        <w:rPr>
          <w:rFonts w:ascii="Cambria" w:hAnsi="Cambria" w:cs="Times New Roman"/>
          <w:sz w:val="18"/>
          <w:szCs w:val="18"/>
          <w:lang w:val="en-US"/>
        </w:rPr>
        <w:t xml:space="preserve">providing </w:t>
      </w:r>
      <w:r w:rsidR="00FD6F62" w:rsidRPr="00213ACD">
        <w:rPr>
          <w:rFonts w:ascii="Cambria" w:hAnsi="Cambria" w:cs="Times New Roman"/>
          <w:sz w:val="18"/>
          <w:szCs w:val="18"/>
          <w:lang w:val="en-US"/>
        </w:rPr>
        <w:t xml:space="preserve">general information and key energy statistics </w:t>
      </w:r>
      <w:r w:rsidR="006F11F7">
        <w:rPr>
          <w:rFonts w:ascii="Cambria" w:hAnsi="Cambria" w:cs="Times New Roman"/>
          <w:sz w:val="18"/>
          <w:szCs w:val="18"/>
          <w:lang w:val="en-US"/>
        </w:rPr>
        <w:t>for</w:t>
      </w:r>
      <w:r w:rsidR="00FD6F62" w:rsidRPr="00213ACD">
        <w:rPr>
          <w:rFonts w:ascii="Cambria" w:hAnsi="Cambria" w:cs="Times New Roman"/>
          <w:sz w:val="18"/>
          <w:szCs w:val="18"/>
          <w:lang w:val="en-US"/>
        </w:rPr>
        <w:t xml:space="preserve"> </w:t>
      </w:r>
      <w:r w:rsidR="00935C09" w:rsidRPr="00213ACD">
        <w:rPr>
          <w:rFonts w:ascii="Cambria" w:hAnsi="Cambria" w:cs="Times New Roman"/>
          <w:sz w:val="18"/>
          <w:szCs w:val="18"/>
          <w:lang w:val="en-US"/>
        </w:rPr>
        <w:t>these countries</w:t>
      </w:r>
      <w:r w:rsidR="00436DFE" w:rsidRPr="00213ACD">
        <w:rPr>
          <w:rFonts w:ascii="Cambria" w:hAnsi="Cambria" w:cs="Times New Roman"/>
          <w:sz w:val="18"/>
          <w:szCs w:val="18"/>
          <w:lang w:val="en-US"/>
        </w:rPr>
        <w:t>.</w:t>
      </w:r>
      <w:r w:rsidR="00FD6F62" w:rsidRPr="00213ACD">
        <w:rPr>
          <w:rFonts w:ascii="Cambria" w:hAnsi="Cambria" w:cs="Times New Roman"/>
          <w:sz w:val="18"/>
          <w:szCs w:val="18"/>
          <w:lang w:val="en-US"/>
        </w:rPr>
        <w:t xml:space="preserve"> </w:t>
      </w:r>
      <w:r w:rsidR="009532B6">
        <w:rPr>
          <w:rFonts w:ascii="Cambria" w:hAnsi="Cambria" w:cs="Times New Roman"/>
          <w:sz w:val="18"/>
          <w:szCs w:val="18"/>
          <w:lang w:val="en-US"/>
        </w:rPr>
        <w:t>It t</w:t>
      </w:r>
      <w:r w:rsidR="00935C09" w:rsidRPr="00213ACD">
        <w:rPr>
          <w:rFonts w:ascii="Cambria" w:hAnsi="Cambria" w:cs="Times New Roman"/>
          <w:sz w:val="18"/>
          <w:szCs w:val="18"/>
          <w:lang w:val="en-US"/>
        </w:rPr>
        <w:t>h</w:t>
      </w:r>
      <w:r w:rsidR="007630C5" w:rsidRPr="00213ACD">
        <w:rPr>
          <w:rFonts w:ascii="Cambria" w:hAnsi="Cambria" w:cs="Times New Roman"/>
          <w:sz w:val="18"/>
          <w:szCs w:val="18"/>
          <w:lang w:val="en-US"/>
        </w:rPr>
        <w:t xml:space="preserve">en </w:t>
      </w:r>
      <w:r w:rsidRPr="00213ACD">
        <w:rPr>
          <w:rFonts w:ascii="Cambria" w:hAnsi="Cambria" w:cs="Times New Roman"/>
          <w:sz w:val="18"/>
          <w:szCs w:val="18"/>
          <w:lang w:val="en-US"/>
        </w:rPr>
        <w:t xml:space="preserve">presents comparative </w:t>
      </w:r>
      <w:r w:rsidR="007630C5" w:rsidRPr="00213ACD">
        <w:rPr>
          <w:rFonts w:ascii="Cambria" w:hAnsi="Cambria" w:cs="Times New Roman"/>
          <w:sz w:val="18"/>
          <w:szCs w:val="18"/>
          <w:lang w:val="en-US"/>
        </w:rPr>
        <w:t xml:space="preserve">data on </w:t>
      </w:r>
      <w:r w:rsidRPr="00213ACD">
        <w:rPr>
          <w:rFonts w:ascii="Cambria" w:hAnsi="Cambria" w:cs="Times New Roman"/>
          <w:sz w:val="18"/>
          <w:szCs w:val="18"/>
          <w:lang w:val="en-US"/>
        </w:rPr>
        <w:t>the</w:t>
      </w:r>
      <w:r w:rsidR="00CD3BD8">
        <w:rPr>
          <w:rFonts w:ascii="Cambria" w:hAnsi="Cambria" w:cs="Times New Roman"/>
          <w:sz w:val="18"/>
          <w:szCs w:val="18"/>
          <w:lang w:val="en-US"/>
        </w:rPr>
        <w:t>ir</w:t>
      </w:r>
      <w:r w:rsidRPr="00213ACD">
        <w:rPr>
          <w:rFonts w:ascii="Cambria" w:hAnsi="Cambria" w:cs="Times New Roman"/>
          <w:sz w:val="18"/>
          <w:szCs w:val="18"/>
          <w:lang w:val="en-US"/>
        </w:rPr>
        <w:t xml:space="preserve"> </w:t>
      </w:r>
      <w:r w:rsidR="007630C5" w:rsidRPr="00213ACD">
        <w:rPr>
          <w:rFonts w:ascii="Cambria" w:hAnsi="Cambria" w:cs="Times New Roman"/>
          <w:sz w:val="18"/>
          <w:szCs w:val="18"/>
          <w:lang w:val="en-US"/>
        </w:rPr>
        <w:t>regulatory policies, fiscal incentives</w:t>
      </w:r>
      <w:r w:rsidR="009532B6">
        <w:rPr>
          <w:rFonts w:ascii="Cambria" w:hAnsi="Cambria" w:cs="Times New Roman"/>
          <w:sz w:val="18"/>
          <w:szCs w:val="18"/>
          <w:lang w:val="en-US"/>
        </w:rPr>
        <w:t>,</w:t>
      </w:r>
      <w:r w:rsidR="007630C5" w:rsidRPr="00213ACD">
        <w:rPr>
          <w:rFonts w:ascii="Cambria" w:hAnsi="Cambria" w:cs="Times New Roman"/>
          <w:sz w:val="18"/>
          <w:szCs w:val="18"/>
          <w:lang w:val="en-US"/>
        </w:rPr>
        <w:t xml:space="preserve"> and public </w:t>
      </w:r>
      <w:proofErr w:type="gramStart"/>
      <w:r w:rsidR="007630C5" w:rsidRPr="00213ACD">
        <w:rPr>
          <w:rFonts w:ascii="Cambria" w:hAnsi="Cambria" w:cs="Times New Roman"/>
          <w:sz w:val="18"/>
          <w:szCs w:val="18"/>
          <w:lang w:val="en-US"/>
        </w:rPr>
        <w:t>financing</w:t>
      </w:r>
      <w:proofErr w:type="gramEnd"/>
      <w:r w:rsidR="007630C5" w:rsidRPr="00213ACD">
        <w:rPr>
          <w:rFonts w:ascii="Cambria" w:hAnsi="Cambria" w:cs="Times New Roman"/>
          <w:sz w:val="18"/>
          <w:szCs w:val="18"/>
          <w:lang w:val="en-US"/>
        </w:rPr>
        <w:t xml:space="preserve"> policies. </w:t>
      </w:r>
      <w:r w:rsidRPr="00213ACD">
        <w:rPr>
          <w:rFonts w:ascii="Cambria" w:hAnsi="Cambria" w:cs="Times New Roman"/>
          <w:sz w:val="18"/>
          <w:szCs w:val="18"/>
          <w:lang w:val="en-US"/>
        </w:rPr>
        <w:t>The data were</w:t>
      </w:r>
      <w:r w:rsidR="008E49EC" w:rsidRPr="00213ACD">
        <w:rPr>
          <w:rFonts w:ascii="Cambria" w:hAnsi="Cambria" w:cs="Times New Roman"/>
          <w:sz w:val="18"/>
          <w:szCs w:val="18"/>
          <w:lang w:val="en-US"/>
        </w:rPr>
        <w:t xml:space="preserve"> collected from</w:t>
      </w:r>
      <w:r w:rsidR="00294421" w:rsidRPr="00213ACD">
        <w:rPr>
          <w:rFonts w:ascii="Cambria" w:hAnsi="Cambria" w:cs="Times New Roman"/>
          <w:sz w:val="18"/>
          <w:szCs w:val="18"/>
          <w:lang w:val="en-US"/>
        </w:rPr>
        <w:t xml:space="preserve"> </w:t>
      </w:r>
      <w:r w:rsidR="00FC1B9A" w:rsidRPr="00213ACD">
        <w:rPr>
          <w:rFonts w:ascii="Cambria" w:hAnsi="Cambria" w:cs="Times New Roman"/>
          <w:sz w:val="18"/>
          <w:szCs w:val="18"/>
          <w:lang w:val="en-US"/>
        </w:rPr>
        <w:t xml:space="preserve">government </w:t>
      </w:r>
      <w:r w:rsidR="00294421" w:rsidRPr="00213ACD">
        <w:rPr>
          <w:rFonts w:ascii="Cambria" w:hAnsi="Cambria" w:cs="Times New Roman"/>
          <w:sz w:val="18"/>
          <w:szCs w:val="18"/>
          <w:lang w:val="en-US"/>
        </w:rPr>
        <w:t>institutions of the Central Asian states, official national statistics, media reports,</w:t>
      </w:r>
      <w:r w:rsidR="00FC1B9A" w:rsidRPr="00213ACD">
        <w:rPr>
          <w:rFonts w:ascii="Cambria" w:hAnsi="Cambria" w:cs="Times New Roman"/>
          <w:sz w:val="18"/>
          <w:szCs w:val="18"/>
          <w:lang w:val="en-US"/>
        </w:rPr>
        <w:t xml:space="preserve"> and international organi</w:t>
      </w:r>
      <w:r w:rsidR="007750C9" w:rsidRPr="00213ACD">
        <w:rPr>
          <w:rFonts w:ascii="Cambria" w:hAnsi="Cambria" w:cs="Times New Roman"/>
          <w:sz w:val="18"/>
          <w:szCs w:val="18"/>
          <w:lang w:val="en-US"/>
        </w:rPr>
        <w:t>z</w:t>
      </w:r>
      <w:r w:rsidR="00FC1B9A" w:rsidRPr="00213ACD">
        <w:rPr>
          <w:rFonts w:ascii="Cambria" w:hAnsi="Cambria" w:cs="Times New Roman"/>
          <w:sz w:val="18"/>
          <w:szCs w:val="18"/>
          <w:lang w:val="en-US"/>
        </w:rPr>
        <w:t>ations.</w:t>
      </w:r>
    </w:p>
    <w:p w14:paraId="79B7E597" w14:textId="1EEFD116" w:rsidR="00973B36" w:rsidRPr="00213ACD" w:rsidRDefault="00973B36" w:rsidP="00973B36">
      <w:pPr>
        <w:pStyle w:val="Default"/>
        <w:rPr>
          <w:rFonts w:ascii="Cambria" w:hAnsi="Cambria" w:cs="Times New Roman"/>
          <w:sz w:val="18"/>
          <w:szCs w:val="18"/>
          <w:lang w:val="en-US"/>
        </w:rPr>
      </w:pPr>
    </w:p>
    <w:p w14:paraId="1118E66E" w14:textId="1CE2EA10" w:rsidR="00973B36" w:rsidRPr="00213ACD" w:rsidRDefault="00973B36" w:rsidP="00973B36">
      <w:pPr>
        <w:pStyle w:val="Default"/>
        <w:rPr>
          <w:rFonts w:ascii="Cambria" w:hAnsi="Cambria" w:cs="Times New Roman"/>
          <w:sz w:val="18"/>
          <w:szCs w:val="18"/>
          <w:lang w:val="en-US"/>
        </w:rPr>
      </w:pPr>
      <w:r w:rsidRPr="00213ACD">
        <w:rPr>
          <w:rFonts w:ascii="Cambria" w:hAnsi="Cambria" w:cs="Times New Roman"/>
          <w:i/>
          <w:sz w:val="18"/>
          <w:szCs w:val="18"/>
          <w:lang w:val="en-US"/>
        </w:rPr>
        <w:t>Keywords:</w:t>
      </w:r>
      <w:r w:rsidRPr="00213ACD">
        <w:rPr>
          <w:rFonts w:ascii="Cambria" w:hAnsi="Cambria" w:cs="Times New Roman"/>
          <w:sz w:val="18"/>
          <w:szCs w:val="18"/>
          <w:lang w:val="en-US"/>
        </w:rPr>
        <w:t xml:space="preserve"> renewable energy, </w:t>
      </w:r>
      <w:r w:rsidR="00294421" w:rsidRPr="00213ACD">
        <w:rPr>
          <w:rFonts w:ascii="Cambria" w:hAnsi="Cambria" w:cs="Times New Roman"/>
          <w:sz w:val="18"/>
          <w:szCs w:val="18"/>
          <w:lang w:val="en-US"/>
        </w:rPr>
        <w:t>energy policy</w:t>
      </w:r>
      <w:r w:rsidR="007630C5" w:rsidRPr="00213ACD">
        <w:rPr>
          <w:rFonts w:ascii="Cambria" w:hAnsi="Cambria" w:cs="Times New Roman"/>
          <w:sz w:val="18"/>
          <w:szCs w:val="18"/>
          <w:lang w:val="en-US"/>
        </w:rPr>
        <w:t>, key energy statistics</w:t>
      </w:r>
      <w:r w:rsidR="008E49EC" w:rsidRPr="00213ACD">
        <w:rPr>
          <w:rFonts w:ascii="Cambria" w:hAnsi="Cambria" w:cs="Times New Roman"/>
          <w:sz w:val="18"/>
          <w:szCs w:val="18"/>
          <w:lang w:val="en-US"/>
        </w:rPr>
        <w:t xml:space="preserve">, </w:t>
      </w:r>
      <w:r w:rsidRPr="00213ACD">
        <w:rPr>
          <w:rFonts w:ascii="Cambria" w:hAnsi="Cambria" w:cs="Times New Roman"/>
          <w:sz w:val="18"/>
          <w:szCs w:val="18"/>
          <w:lang w:val="en-US"/>
        </w:rPr>
        <w:t xml:space="preserve">Central Asia, Kazakhstan, Kyrgyzstan, Tajikistan, Turkmenistan, Uzbekistan </w:t>
      </w:r>
    </w:p>
    <w:p w14:paraId="45852892" w14:textId="77777777" w:rsidR="00E22E45" w:rsidRPr="00213ACD" w:rsidRDefault="00E22E45" w:rsidP="00973B36">
      <w:pPr>
        <w:pStyle w:val="Default"/>
        <w:rPr>
          <w:rFonts w:ascii="Cambria" w:hAnsi="Cambria" w:cs="Times New Roman"/>
          <w:sz w:val="18"/>
          <w:szCs w:val="18"/>
          <w:lang w:val="en-US"/>
        </w:rPr>
      </w:pPr>
    </w:p>
    <w:p w14:paraId="352308A5" w14:textId="35119CB8" w:rsidR="00A1021E" w:rsidRPr="00F877D2" w:rsidRDefault="007C13FE" w:rsidP="00A1021E">
      <w:pPr>
        <w:spacing w:line="240" w:lineRule="auto"/>
        <w:rPr>
          <w:rFonts w:ascii="Cambria" w:hAnsi="Cambria"/>
          <w:lang w:val="en-US"/>
        </w:rPr>
      </w:pPr>
      <w:r w:rsidRPr="00F877D2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BFCEB" wp14:editId="04F36832">
                <wp:simplePos x="0" y="0"/>
                <wp:positionH relativeFrom="column">
                  <wp:posOffset>1270</wp:posOffset>
                </wp:positionH>
                <wp:positionV relativeFrom="paragraph">
                  <wp:posOffset>31587</wp:posOffset>
                </wp:positionV>
                <wp:extent cx="5773420" cy="0"/>
                <wp:effectExtent l="0" t="0" r="1778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5AF250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5pt" to="45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" strokecolor="black [3040]" strokeweight=".25pt"/>
            </w:pict>
          </mc:Fallback>
        </mc:AlternateContent>
      </w:r>
    </w:p>
    <w:p w14:paraId="5E936B54" w14:textId="77777777" w:rsidR="00A1021E" w:rsidRPr="00213ACD" w:rsidRDefault="00A1021E" w:rsidP="007750C9">
      <w:pPr>
        <w:pStyle w:val="Heading2"/>
        <w:numPr>
          <w:ilvl w:val="0"/>
          <w:numId w:val="0"/>
        </w:numPr>
        <w:spacing w:before="0" w:line="240" w:lineRule="auto"/>
        <w:ind w:left="357"/>
        <w:rPr>
          <w:rFonts w:ascii="Cambria" w:hAnsi="Cambria"/>
          <w:lang w:val="en-US"/>
        </w:rPr>
      </w:pPr>
    </w:p>
    <w:p w14:paraId="15D93E30" w14:textId="7A31ABA9" w:rsidR="007750C9" w:rsidRPr="00213ACD" w:rsidRDefault="007750C9" w:rsidP="007750C9">
      <w:pPr>
        <w:rPr>
          <w:rFonts w:ascii="Cambria" w:hAnsi="Cambria"/>
          <w:lang w:val="en-US"/>
        </w:rPr>
        <w:sectPr w:rsidR="007750C9" w:rsidRPr="00213ACD" w:rsidSect="00A1021E">
          <w:headerReference w:type="default" r:id="rId11"/>
          <w:footerReference w:type="even" r:id="rId12"/>
          <w:footerReference w:type="default" r:id="rId13"/>
          <w:pgSz w:w="11906" w:h="16838"/>
          <w:pgMar w:top="1440" w:right="1080" w:bottom="1440" w:left="1080" w:header="708" w:footer="708" w:gutter="0"/>
          <w:cols w:space="720"/>
          <w:docGrid w:linePitch="360"/>
        </w:sectPr>
      </w:pPr>
    </w:p>
    <w:p w14:paraId="3CCBEBAB" w14:textId="1C0F666E" w:rsidR="00973B36" w:rsidRPr="00213ACD" w:rsidRDefault="00973B36" w:rsidP="00973B36">
      <w:pPr>
        <w:pStyle w:val="Heading2"/>
        <w:spacing w:before="0" w:line="240" w:lineRule="auto"/>
        <w:rPr>
          <w:rFonts w:ascii="Cambria" w:hAnsi="Cambria"/>
          <w:lang w:val="en-US"/>
        </w:rPr>
      </w:pPr>
      <w:r w:rsidRPr="00213ACD">
        <w:rPr>
          <w:rFonts w:ascii="Cambria" w:hAnsi="Cambria"/>
          <w:lang w:val="en-US"/>
        </w:rPr>
        <w:lastRenderedPageBreak/>
        <w:t>Background</w:t>
      </w:r>
    </w:p>
    <w:p w14:paraId="000CFCAB" w14:textId="08C6F23D" w:rsidR="004F5767" w:rsidRPr="00213ACD" w:rsidRDefault="004F5767" w:rsidP="004F5767">
      <w:pPr>
        <w:rPr>
          <w:rFonts w:ascii="Cambria" w:hAnsi="Cambria"/>
          <w:lang w:val="en-US"/>
        </w:rPr>
      </w:pPr>
      <w:r w:rsidRPr="00213ACD">
        <w:rPr>
          <w:rFonts w:ascii="Cambria" w:hAnsi="Cambria"/>
          <w:lang w:val="en-US"/>
        </w:rPr>
        <w:t xml:space="preserve">Central Asia is a </w:t>
      </w:r>
      <w:r w:rsidR="003757AB" w:rsidRPr="00213ACD">
        <w:rPr>
          <w:rFonts w:ascii="Cambria" w:hAnsi="Cambria"/>
          <w:lang w:val="en-US"/>
        </w:rPr>
        <w:t>resource-</w:t>
      </w:r>
      <w:r w:rsidRPr="00213ACD">
        <w:rPr>
          <w:rFonts w:ascii="Cambria" w:hAnsi="Cambria"/>
          <w:lang w:val="en-US"/>
        </w:rPr>
        <w:t xml:space="preserve">rich region with </w:t>
      </w:r>
      <w:r w:rsidR="00E870EE" w:rsidRPr="00213ACD">
        <w:rPr>
          <w:rFonts w:ascii="Cambria" w:hAnsi="Cambria"/>
          <w:lang w:val="en-US"/>
        </w:rPr>
        <w:t>abundant</w:t>
      </w:r>
      <w:r w:rsidRPr="00213ACD">
        <w:rPr>
          <w:rFonts w:ascii="Cambria" w:hAnsi="Cambria"/>
          <w:lang w:val="en-US"/>
        </w:rPr>
        <w:t xml:space="preserve"> oil and natural gas reserves.</w:t>
      </w:r>
      <w:r w:rsidR="007630C5" w:rsidRPr="00213ACD">
        <w:rPr>
          <w:rFonts w:ascii="Cambria" w:hAnsi="Cambria"/>
          <w:lang w:val="en-US"/>
        </w:rPr>
        <w:t xml:space="preserve"> T</w:t>
      </w:r>
      <w:r w:rsidRPr="00213ACD">
        <w:rPr>
          <w:rFonts w:ascii="Cambria" w:hAnsi="Cambria"/>
          <w:lang w:val="en-US"/>
        </w:rPr>
        <w:t>hese rese</w:t>
      </w:r>
      <w:r w:rsidR="003757AB" w:rsidRPr="00213ACD">
        <w:rPr>
          <w:rFonts w:ascii="Cambria" w:hAnsi="Cambria"/>
          <w:lang w:val="en-US"/>
        </w:rPr>
        <w:t>r</w:t>
      </w:r>
      <w:r w:rsidRPr="00213ACD">
        <w:rPr>
          <w:rFonts w:ascii="Cambria" w:hAnsi="Cambria"/>
          <w:lang w:val="en-US"/>
        </w:rPr>
        <w:t xml:space="preserve">ves are unevenly distributed </w:t>
      </w:r>
      <w:r w:rsidR="00131E64" w:rsidRPr="00213ACD">
        <w:rPr>
          <w:rFonts w:ascii="Cambria" w:hAnsi="Cambria"/>
          <w:lang w:val="en-US"/>
        </w:rPr>
        <w:t>among the five countries in the region: Kazakhstan, Kyrgyzstan, Tajikistan, Turkmenistan and Uzbekistan.</w:t>
      </w:r>
    </w:p>
    <w:p w14:paraId="4937DB6E" w14:textId="5C991F31" w:rsidR="00241868" w:rsidRPr="00213ACD" w:rsidRDefault="003757AB" w:rsidP="004F5767">
      <w:pPr>
        <w:rPr>
          <w:rFonts w:ascii="Cambria" w:hAnsi="Cambria"/>
          <w:lang w:val="en-US"/>
        </w:rPr>
      </w:pPr>
      <w:r w:rsidRPr="00213ACD">
        <w:rPr>
          <w:rFonts w:ascii="Cambria" w:hAnsi="Cambria"/>
          <w:lang w:val="en-US"/>
        </w:rPr>
        <w:tab/>
      </w:r>
      <w:r w:rsidR="003E3F2F" w:rsidRPr="00803508">
        <w:rPr>
          <w:rFonts w:ascii="Cambria" w:hAnsi="Cambria"/>
          <w:spacing w:val="-6"/>
          <w:lang w:val="en-US"/>
        </w:rPr>
        <w:t>Kazakhstan, Turkmenistan, and Uzbekistan, as the major fossil fuel producers, are net foss</w:t>
      </w:r>
      <w:r w:rsidR="003E3F2F">
        <w:rPr>
          <w:rFonts w:ascii="Cambria" w:hAnsi="Cambria"/>
          <w:lang w:val="en-US"/>
        </w:rPr>
        <w:t>il-fuel</w:t>
      </w:r>
      <w:r w:rsidR="003E3F2F" w:rsidRPr="00213ACD">
        <w:rPr>
          <w:rFonts w:ascii="Cambria" w:hAnsi="Cambria"/>
          <w:lang w:val="en-US"/>
        </w:rPr>
        <w:t xml:space="preserve"> exporters and have the highest CO</w:t>
      </w:r>
      <w:r w:rsidR="003E3F2F" w:rsidRPr="00213ACD">
        <w:rPr>
          <w:rFonts w:ascii="Cambria" w:hAnsi="Cambria"/>
          <w:vertAlign w:val="subscript"/>
          <w:lang w:val="en-US"/>
        </w:rPr>
        <w:t>2</w:t>
      </w:r>
      <w:r w:rsidR="003E3F2F" w:rsidRPr="00213ACD">
        <w:rPr>
          <w:rFonts w:ascii="Cambria" w:hAnsi="Cambria"/>
          <w:lang w:val="en-US"/>
        </w:rPr>
        <w:t xml:space="preserve"> emissions per capita in the region.</w:t>
      </w:r>
      <w:r w:rsidR="003E3F2F">
        <w:rPr>
          <w:rFonts w:ascii="Cambria" w:hAnsi="Cambria"/>
          <w:lang w:val="en-US"/>
        </w:rPr>
        <w:t xml:space="preserve"> </w:t>
      </w:r>
      <w:r w:rsidR="007630C5" w:rsidRPr="00213ACD">
        <w:rPr>
          <w:rFonts w:ascii="Cambria" w:hAnsi="Cambria"/>
          <w:lang w:val="en-US"/>
        </w:rPr>
        <w:t xml:space="preserve">Kazakhstan </w:t>
      </w:r>
      <w:r w:rsidRPr="00213ACD">
        <w:rPr>
          <w:rFonts w:ascii="Cambria" w:hAnsi="Cambria"/>
          <w:lang w:val="en-US"/>
        </w:rPr>
        <w:t xml:space="preserve">produces </w:t>
      </w:r>
      <w:r w:rsidR="007A76D9" w:rsidRPr="00213ACD">
        <w:rPr>
          <w:rFonts w:ascii="Cambria" w:hAnsi="Cambria"/>
          <w:lang w:val="en-US"/>
        </w:rPr>
        <w:t xml:space="preserve">half the energy consumed in Central Asia. </w:t>
      </w:r>
      <w:r w:rsidR="00C52CC1" w:rsidRPr="00213ACD">
        <w:rPr>
          <w:rFonts w:ascii="Cambria" w:hAnsi="Cambria"/>
          <w:lang w:val="en-US"/>
        </w:rPr>
        <w:t>Besides marginal in</w:t>
      </w:r>
      <w:r w:rsidRPr="00213ACD">
        <w:rPr>
          <w:rFonts w:ascii="Cambria" w:hAnsi="Cambria"/>
          <w:lang w:val="en-US"/>
        </w:rPr>
        <w:t>t</w:t>
      </w:r>
      <w:r w:rsidR="00C52CC1" w:rsidRPr="00213ACD">
        <w:rPr>
          <w:rFonts w:ascii="Cambria" w:hAnsi="Cambria"/>
          <w:lang w:val="en-US"/>
        </w:rPr>
        <w:t xml:space="preserve">raregional trade, </w:t>
      </w:r>
      <w:r w:rsidRPr="00213ACD">
        <w:rPr>
          <w:rFonts w:ascii="Cambria" w:hAnsi="Cambria"/>
          <w:lang w:val="en-US"/>
        </w:rPr>
        <w:t xml:space="preserve">the Central Asian states </w:t>
      </w:r>
      <w:r w:rsidR="009532B6">
        <w:rPr>
          <w:rFonts w:ascii="Cambria" w:hAnsi="Cambria"/>
          <w:lang w:val="en-US"/>
        </w:rPr>
        <w:t xml:space="preserve">mainly </w:t>
      </w:r>
      <w:r w:rsidR="00E870EE" w:rsidRPr="00213ACD">
        <w:rPr>
          <w:rFonts w:ascii="Cambria" w:hAnsi="Cambria"/>
          <w:lang w:val="en-US"/>
        </w:rPr>
        <w:t xml:space="preserve">trade </w:t>
      </w:r>
      <w:r w:rsidRPr="00213ACD">
        <w:rPr>
          <w:rFonts w:ascii="Cambria" w:hAnsi="Cambria"/>
          <w:lang w:val="en-US"/>
        </w:rPr>
        <w:t xml:space="preserve">energy </w:t>
      </w:r>
      <w:r w:rsidR="00E870EE" w:rsidRPr="00213ACD">
        <w:rPr>
          <w:rFonts w:ascii="Cambria" w:hAnsi="Cambria"/>
          <w:lang w:val="en-US"/>
        </w:rPr>
        <w:t>with Afghanistan</w:t>
      </w:r>
      <w:r w:rsidRPr="00213ACD">
        <w:rPr>
          <w:rFonts w:ascii="Cambria" w:hAnsi="Cambria"/>
          <w:lang w:val="en-US"/>
        </w:rPr>
        <w:t>, China, Iran</w:t>
      </w:r>
      <w:r w:rsidR="00C15C0F">
        <w:rPr>
          <w:rFonts w:ascii="Cambria" w:hAnsi="Cambria"/>
          <w:lang w:val="en-US"/>
        </w:rPr>
        <w:t>,</w:t>
      </w:r>
      <w:r w:rsidRPr="00213ACD">
        <w:rPr>
          <w:rFonts w:ascii="Cambria" w:hAnsi="Cambria"/>
          <w:lang w:val="en-US"/>
        </w:rPr>
        <w:t xml:space="preserve"> and Russia</w:t>
      </w:r>
      <w:r w:rsidR="00E870EE" w:rsidRPr="00213ACD">
        <w:rPr>
          <w:rFonts w:ascii="Cambria" w:hAnsi="Cambria"/>
          <w:lang w:val="en-US"/>
        </w:rPr>
        <w:t>.</w:t>
      </w:r>
      <w:r w:rsidR="00603A21" w:rsidRPr="00213ACD">
        <w:rPr>
          <w:rFonts w:ascii="Cambria" w:hAnsi="Cambria"/>
          <w:lang w:val="en-US"/>
        </w:rPr>
        <w:t xml:space="preserve"> </w:t>
      </w:r>
    </w:p>
    <w:p w14:paraId="4466665C" w14:textId="2DCEE87A" w:rsidR="00287084" w:rsidRDefault="00B41BE1" w:rsidP="004F576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The energy world is currently witnessing a global transition from fossil fuels to renewable </w:t>
      </w:r>
      <w:r>
        <w:rPr>
          <w:rFonts w:ascii="Cambria" w:hAnsi="Cambria"/>
          <w:lang w:val="en-US"/>
        </w:rPr>
        <w:lastRenderedPageBreak/>
        <w:t>energy.</w:t>
      </w:r>
      <w:r>
        <w:rPr>
          <w:rStyle w:val="FootnoteReference"/>
          <w:rFonts w:ascii="Cambria" w:hAnsi="Cambria"/>
          <w:lang w:val="en-US"/>
        </w:rPr>
        <w:footnoteReference w:id="1"/>
      </w:r>
      <w:r>
        <w:rPr>
          <w:rStyle w:val="FootnoteReference"/>
          <w:rFonts w:ascii="Cambria" w:hAnsi="Cambria"/>
          <w:lang w:val="en-US"/>
        </w:rPr>
        <w:footnoteReference w:id="2"/>
      </w:r>
      <w:r w:rsidR="00090D65">
        <w:rPr>
          <w:rFonts w:ascii="Cambria" w:hAnsi="Cambria"/>
          <w:lang w:val="en-US"/>
        </w:rPr>
        <w:t xml:space="preserve"> </w:t>
      </w:r>
      <w:r w:rsidR="003757AB" w:rsidRPr="00213ACD">
        <w:rPr>
          <w:rFonts w:ascii="Cambria" w:hAnsi="Cambria"/>
          <w:lang w:val="en-US"/>
        </w:rPr>
        <w:t xml:space="preserve">Central Asia is also rich in renewable energy resources, but </w:t>
      </w:r>
      <w:r w:rsidR="006F11F7">
        <w:rPr>
          <w:rFonts w:ascii="Cambria" w:hAnsi="Cambria"/>
          <w:lang w:val="en-US"/>
        </w:rPr>
        <w:t>renewables have</w:t>
      </w:r>
      <w:r w:rsidR="003757AB" w:rsidRPr="00213ACD">
        <w:rPr>
          <w:rFonts w:ascii="Cambria" w:hAnsi="Cambria"/>
          <w:lang w:val="en-US"/>
        </w:rPr>
        <w:t xml:space="preserve"> received </w:t>
      </w:r>
      <w:r w:rsidR="003E3F2F">
        <w:rPr>
          <w:rFonts w:ascii="Cambria" w:hAnsi="Cambria"/>
          <w:lang w:val="en-US"/>
        </w:rPr>
        <w:t xml:space="preserve">little </w:t>
      </w:r>
      <w:r w:rsidR="003757AB" w:rsidRPr="00213ACD">
        <w:rPr>
          <w:rFonts w:ascii="Cambria" w:hAnsi="Cambria"/>
          <w:lang w:val="en-US"/>
        </w:rPr>
        <w:t>attention in academic research and the media. T</w:t>
      </w:r>
      <w:r w:rsidR="006F11F7">
        <w:rPr>
          <w:rFonts w:ascii="Cambria" w:hAnsi="Cambria"/>
          <w:lang w:val="en-US"/>
        </w:rPr>
        <w:t>herefore, t</w:t>
      </w:r>
      <w:r w:rsidR="003757AB" w:rsidRPr="00213ACD">
        <w:rPr>
          <w:rFonts w:ascii="Cambria" w:hAnsi="Cambria"/>
          <w:lang w:val="en-US"/>
        </w:rPr>
        <w:t>he Central Asia Data</w:t>
      </w:r>
      <w:r w:rsidR="00C15C0F">
        <w:rPr>
          <w:rFonts w:ascii="Cambria" w:hAnsi="Cambria"/>
          <w:lang w:val="en-US"/>
        </w:rPr>
        <w:t xml:space="preserve"> </w:t>
      </w:r>
      <w:r w:rsidR="003757AB" w:rsidRPr="00213ACD">
        <w:rPr>
          <w:rFonts w:ascii="Cambria" w:hAnsi="Cambria"/>
          <w:lang w:val="en-US"/>
        </w:rPr>
        <w:t>Gathering and Analysis Team</w:t>
      </w:r>
      <w:r w:rsidR="003E3F2F">
        <w:rPr>
          <w:rFonts w:ascii="Cambria" w:hAnsi="Cambria"/>
          <w:lang w:val="en-US"/>
        </w:rPr>
        <w:t xml:space="preserve"> (CADGAT)</w:t>
      </w:r>
      <w:r w:rsidR="003757AB" w:rsidRPr="00213ACD">
        <w:rPr>
          <w:rFonts w:ascii="Cambria" w:hAnsi="Cambria"/>
          <w:lang w:val="en-US"/>
        </w:rPr>
        <w:t xml:space="preserve"> </w:t>
      </w:r>
      <w:proofErr w:type="gramStart"/>
      <w:r w:rsidR="003757AB" w:rsidRPr="00213ACD">
        <w:rPr>
          <w:rFonts w:ascii="Cambria" w:hAnsi="Cambria"/>
          <w:lang w:val="en-US"/>
        </w:rPr>
        <w:t>is</w:t>
      </w:r>
      <w:proofErr w:type="gramEnd"/>
      <w:r w:rsidR="003757AB" w:rsidRPr="00213ACD">
        <w:rPr>
          <w:rFonts w:ascii="Cambria" w:hAnsi="Cambria"/>
          <w:lang w:val="en-US"/>
        </w:rPr>
        <w:t xml:space="preserve"> producing a series of datasets on renewable energy in Central Asia to provide a basis for further research in this area. </w:t>
      </w:r>
    </w:p>
    <w:p w14:paraId="4255BB76" w14:textId="12E3B368" w:rsidR="00B70AAB" w:rsidRPr="00213ACD" w:rsidRDefault="003757AB" w:rsidP="004F5767">
      <w:pPr>
        <w:rPr>
          <w:rFonts w:ascii="Cambria" w:hAnsi="Cambria"/>
          <w:lang w:val="en-US"/>
        </w:rPr>
      </w:pPr>
      <w:r w:rsidRPr="00213ACD">
        <w:rPr>
          <w:rFonts w:ascii="Cambria" w:hAnsi="Cambria"/>
          <w:lang w:val="en-US"/>
        </w:rPr>
        <w:t>The</w:t>
      </w:r>
      <w:r w:rsidR="0096146D" w:rsidRPr="00213ACD">
        <w:rPr>
          <w:rFonts w:ascii="Cambria" w:hAnsi="Cambria"/>
          <w:lang w:val="en-US"/>
        </w:rPr>
        <w:t>se</w:t>
      </w:r>
      <w:r w:rsidRPr="00213ACD">
        <w:rPr>
          <w:rFonts w:ascii="Cambria" w:hAnsi="Cambria"/>
          <w:lang w:val="en-US"/>
        </w:rPr>
        <w:t xml:space="preserve"> data are also available </w:t>
      </w:r>
      <w:r w:rsidR="0096146D" w:rsidRPr="00213ACD">
        <w:rPr>
          <w:rFonts w:ascii="Cambria" w:hAnsi="Cambria"/>
          <w:lang w:val="en-US"/>
        </w:rPr>
        <w:t xml:space="preserve">in a unified database in </w:t>
      </w:r>
      <w:r w:rsidR="00060C47">
        <w:rPr>
          <w:rFonts w:ascii="Cambria" w:hAnsi="Cambria"/>
          <w:lang w:val="en-US"/>
        </w:rPr>
        <w:t>E</w:t>
      </w:r>
      <w:r w:rsidR="0096146D" w:rsidRPr="00213ACD">
        <w:rPr>
          <w:rFonts w:ascii="Cambria" w:hAnsi="Cambria"/>
          <w:lang w:val="en-US"/>
        </w:rPr>
        <w:t>xcel format</w:t>
      </w:r>
      <w:r w:rsidR="004D261C" w:rsidRPr="00213ACD">
        <w:rPr>
          <w:rFonts w:ascii="Cambria" w:hAnsi="Cambria"/>
          <w:lang w:val="en-US"/>
        </w:rPr>
        <w:t xml:space="preserve"> from</w:t>
      </w:r>
      <w:r w:rsidR="00B70AAB" w:rsidRPr="00213ACD">
        <w:rPr>
          <w:rFonts w:ascii="Cambria" w:hAnsi="Cambria"/>
          <w:lang w:val="en-US"/>
        </w:rPr>
        <w:t xml:space="preserve"> </w:t>
      </w:r>
    </w:p>
    <w:p w14:paraId="0943FABE" w14:textId="2A0A8E0C" w:rsidR="003757AB" w:rsidRPr="00213ACD" w:rsidRDefault="005503B3" w:rsidP="004F5767">
      <w:pPr>
        <w:rPr>
          <w:rFonts w:ascii="Cambria" w:hAnsi="Cambria"/>
          <w:lang w:val="en-US"/>
        </w:rPr>
      </w:pPr>
      <w:r>
        <w:fldChar w:fldCharType="begin"/>
      </w:r>
      <w:r w:rsidRPr="005503B3">
        <w:rPr>
          <w:lang w:val="en-US"/>
        </w:rPr>
        <w:instrText xml:space="preserve"> HYPERLINK "http://osce-academy.net/en/research/cadgat/" </w:instrText>
      </w:r>
      <w:r>
        <w:fldChar w:fldCharType="separate"/>
      </w:r>
      <w:r w:rsidR="00B70AAB" w:rsidRPr="00213ACD">
        <w:rPr>
          <w:rStyle w:val="Hyperlink"/>
          <w:rFonts w:ascii="Cambria" w:hAnsi="Cambria" w:cs="Times New Roman"/>
          <w:sz w:val="20"/>
          <w:szCs w:val="20"/>
          <w:lang w:val="en-US"/>
        </w:rPr>
        <w:t>http://osce-academy.net/en/research/cadgat/</w:t>
      </w:r>
      <w:r>
        <w:rPr>
          <w:rStyle w:val="Hyperlink"/>
          <w:rFonts w:ascii="Cambria" w:hAnsi="Cambria" w:cs="Times New Roman"/>
          <w:sz w:val="20"/>
          <w:szCs w:val="20"/>
          <w:lang w:val="en-US"/>
        </w:rPr>
        <w:fldChar w:fldCharType="end"/>
      </w:r>
    </w:p>
    <w:p w14:paraId="588FAC96" w14:textId="77777777" w:rsidR="00C52CC1" w:rsidRPr="00213ACD" w:rsidRDefault="00C52CC1" w:rsidP="004F5767">
      <w:pPr>
        <w:rPr>
          <w:rFonts w:ascii="Cambria" w:hAnsi="Cambria"/>
          <w:lang w:val="en-US"/>
        </w:rPr>
      </w:pPr>
    </w:p>
    <w:p w14:paraId="05AC85AB" w14:textId="14DEBCCF" w:rsidR="00973B36" w:rsidRPr="00213ACD" w:rsidRDefault="006A525D" w:rsidP="00F02A24">
      <w:pPr>
        <w:pStyle w:val="Heading2"/>
        <w:spacing w:before="0" w:line="240" w:lineRule="auto"/>
        <w:rPr>
          <w:rFonts w:ascii="Cambria" w:hAnsi="Cambria"/>
          <w:lang w:val="en-US"/>
        </w:rPr>
      </w:pPr>
      <w:r w:rsidRPr="00213ACD">
        <w:rPr>
          <w:rFonts w:ascii="Cambria" w:hAnsi="Cambria"/>
          <w:lang w:val="en-US"/>
        </w:rPr>
        <w:lastRenderedPageBreak/>
        <w:t>Data collection</w:t>
      </w:r>
    </w:p>
    <w:p w14:paraId="7EC2C336" w14:textId="5AB50778" w:rsidR="008F24D1" w:rsidRPr="00213ACD" w:rsidRDefault="006F11F7" w:rsidP="00F02A2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empirical work</w:t>
      </w:r>
      <w:r w:rsidR="00060C47">
        <w:rPr>
          <w:rFonts w:ascii="Cambria" w:hAnsi="Cambria"/>
          <w:lang w:val="en-US"/>
        </w:rPr>
        <w:t xml:space="preserve"> </w:t>
      </w:r>
      <w:r w:rsidR="00DA6520" w:rsidRPr="00213ACD">
        <w:rPr>
          <w:rFonts w:ascii="Cambria" w:hAnsi="Cambria"/>
          <w:lang w:val="en-US"/>
        </w:rPr>
        <w:t xml:space="preserve">for </w:t>
      </w:r>
      <w:r w:rsidR="008E4944" w:rsidRPr="00213ACD">
        <w:rPr>
          <w:rFonts w:ascii="Cambria" w:hAnsi="Cambria"/>
          <w:lang w:val="en-US"/>
        </w:rPr>
        <w:t xml:space="preserve">this </w:t>
      </w:r>
      <w:r w:rsidR="0096146D" w:rsidRPr="00213ACD">
        <w:rPr>
          <w:rFonts w:ascii="Cambria" w:hAnsi="Cambria"/>
          <w:lang w:val="en-US"/>
        </w:rPr>
        <w:t xml:space="preserve">data article </w:t>
      </w:r>
      <w:r>
        <w:rPr>
          <w:rFonts w:ascii="Cambria" w:hAnsi="Cambria"/>
          <w:lang w:val="en-US"/>
        </w:rPr>
        <w:t xml:space="preserve">was carried out </w:t>
      </w:r>
      <w:r w:rsidR="003757AB" w:rsidRPr="00213ACD">
        <w:rPr>
          <w:rFonts w:ascii="Cambria" w:hAnsi="Cambria"/>
          <w:lang w:val="en-US"/>
        </w:rPr>
        <w:t xml:space="preserve">between November </w:t>
      </w:r>
      <w:r w:rsidR="008E4944" w:rsidRPr="00213ACD">
        <w:rPr>
          <w:rFonts w:ascii="Cambria" w:hAnsi="Cambria"/>
          <w:lang w:val="en-US"/>
        </w:rPr>
        <w:t>2018</w:t>
      </w:r>
      <w:r w:rsidR="003757AB" w:rsidRPr="00213ACD">
        <w:rPr>
          <w:rFonts w:ascii="Cambria" w:hAnsi="Cambria"/>
          <w:lang w:val="en-US"/>
        </w:rPr>
        <w:t xml:space="preserve"> and January 2019</w:t>
      </w:r>
      <w:r w:rsidR="00DA6520" w:rsidRPr="00213ACD">
        <w:rPr>
          <w:rFonts w:ascii="Cambria" w:hAnsi="Cambria"/>
          <w:lang w:val="en-US"/>
        </w:rPr>
        <w:t xml:space="preserve">, </w:t>
      </w:r>
      <w:r w:rsidR="008E4944" w:rsidRPr="00213ACD">
        <w:rPr>
          <w:rFonts w:ascii="Cambria" w:hAnsi="Cambria"/>
          <w:lang w:val="en-US"/>
        </w:rPr>
        <w:t xml:space="preserve">and </w:t>
      </w:r>
      <w:r w:rsidR="00DA6520" w:rsidRPr="00213ACD">
        <w:rPr>
          <w:rFonts w:ascii="Cambria" w:hAnsi="Cambria"/>
          <w:lang w:val="en-US"/>
        </w:rPr>
        <w:t xml:space="preserve">the figures presented reflect the situation </w:t>
      </w:r>
      <w:r w:rsidR="008E4944" w:rsidRPr="00213ACD">
        <w:rPr>
          <w:rFonts w:ascii="Cambria" w:hAnsi="Cambria"/>
          <w:lang w:val="en-US"/>
        </w:rPr>
        <w:t>during that period</w:t>
      </w:r>
      <w:r w:rsidR="000864A0" w:rsidRPr="00213ACD">
        <w:rPr>
          <w:rFonts w:ascii="Cambria" w:hAnsi="Cambria"/>
          <w:lang w:val="en-US"/>
        </w:rPr>
        <w:t>.</w:t>
      </w:r>
      <w:r w:rsidR="008F24D1" w:rsidRPr="00213ACD">
        <w:rPr>
          <w:rFonts w:ascii="Cambria" w:hAnsi="Cambria"/>
          <w:lang w:val="en-US"/>
        </w:rPr>
        <w:t xml:space="preserve"> </w:t>
      </w:r>
      <w:r w:rsidR="00060C47">
        <w:rPr>
          <w:rFonts w:ascii="Cambria" w:hAnsi="Cambria"/>
          <w:lang w:val="en-US"/>
        </w:rPr>
        <w:t>D</w:t>
      </w:r>
      <w:r w:rsidR="008F24D1" w:rsidRPr="00213ACD">
        <w:rPr>
          <w:rFonts w:ascii="Cambria" w:hAnsi="Cambria"/>
          <w:lang w:val="en-US"/>
        </w:rPr>
        <w:t>ata were gathered by one CADGAT research</w:t>
      </w:r>
      <w:r w:rsidR="00060C47">
        <w:rPr>
          <w:rFonts w:ascii="Cambria" w:hAnsi="Cambria"/>
          <w:lang w:val="en-US"/>
        </w:rPr>
        <w:t>er</w:t>
      </w:r>
      <w:r w:rsidR="008F24D1" w:rsidRPr="00213ACD">
        <w:rPr>
          <w:rFonts w:ascii="Cambria" w:hAnsi="Cambria"/>
          <w:lang w:val="en-US"/>
        </w:rPr>
        <w:t xml:space="preserve"> in each of the Central Asian countries.</w:t>
      </w:r>
    </w:p>
    <w:p w14:paraId="34622609" w14:textId="77777777" w:rsidR="008F24D1" w:rsidRPr="00213ACD" w:rsidRDefault="008F24D1" w:rsidP="00F02A24">
      <w:pPr>
        <w:rPr>
          <w:rFonts w:ascii="Cambria" w:hAnsi="Cambria"/>
          <w:lang w:val="en-US"/>
        </w:rPr>
      </w:pPr>
    </w:p>
    <w:p w14:paraId="3CCA3E22" w14:textId="3440979A" w:rsidR="0067642C" w:rsidRPr="00213ACD" w:rsidRDefault="006A525D" w:rsidP="0067642C">
      <w:pPr>
        <w:pStyle w:val="Heading2"/>
        <w:spacing w:before="0" w:line="240" w:lineRule="auto"/>
        <w:rPr>
          <w:rFonts w:ascii="Cambria" w:hAnsi="Cambria"/>
          <w:lang w:val="en-US"/>
        </w:rPr>
      </w:pPr>
      <w:r w:rsidRPr="00213ACD">
        <w:rPr>
          <w:rFonts w:ascii="Cambria" w:hAnsi="Cambria"/>
          <w:lang w:val="en-US"/>
        </w:rPr>
        <w:t>Key findings</w:t>
      </w:r>
    </w:p>
    <w:p w14:paraId="3459F605" w14:textId="692F9F47" w:rsidR="008F24D1" w:rsidRPr="00213ACD" w:rsidRDefault="008F24D1" w:rsidP="008F24D1">
      <w:pPr>
        <w:rPr>
          <w:rFonts w:ascii="Cambria" w:hAnsi="Cambria"/>
          <w:lang w:val="en-US"/>
        </w:rPr>
      </w:pPr>
      <w:r w:rsidRPr="00213ACD">
        <w:rPr>
          <w:rFonts w:ascii="Cambria" w:hAnsi="Cambria"/>
          <w:lang w:val="en-US"/>
        </w:rPr>
        <w:t>Th</w:t>
      </w:r>
      <w:r w:rsidR="003E3F2F">
        <w:rPr>
          <w:rFonts w:ascii="Cambria" w:hAnsi="Cambria"/>
          <w:lang w:val="en-US"/>
        </w:rPr>
        <w:t>e</w:t>
      </w:r>
      <w:r w:rsidRPr="00213ACD">
        <w:rPr>
          <w:rFonts w:ascii="Cambria" w:hAnsi="Cambria"/>
          <w:lang w:val="en-US"/>
        </w:rPr>
        <w:t xml:space="preserve"> article </w:t>
      </w:r>
      <w:r w:rsidR="003E3F2F">
        <w:rPr>
          <w:rFonts w:ascii="Cambria" w:hAnsi="Cambria"/>
          <w:lang w:val="en-US"/>
        </w:rPr>
        <w:t xml:space="preserve">first </w:t>
      </w:r>
      <w:r w:rsidRPr="00213ACD">
        <w:rPr>
          <w:rFonts w:ascii="Cambria" w:hAnsi="Cambria"/>
          <w:lang w:val="en-US"/>
        </w:rPr>
        <w:t xml:space="preserve">presents the key energy statistics for the Central Asian states, information on </w:t>
      </w:r>
      <w:r w:rsidR="006433E6">
        <w:rPr>
          <w:rFonts w:ascii="Cambria" w:hAnsi="Cambria"/>
          <w:lang w:val="en-US"/>
        </w:rPr>
        <w:t xml:space="preserve">their </w:t>
      </w:r>
      <w:r w:rsidRPr="00213ACD">
        <w:rPr>
          <w:rFonts w:ascii="Cambria" w:hAnsi="Cambria"/>
          <w:lang w:val="en-US"/>
        </w:rPr>
        <w:lastRenderedPageBreak/>
        <w:t>regulatory policies</w:t>
      </w:r>
      <w:r w:rsidR="00F35432">
        <w:rPr>
          <w:rFonts w:ascii="Cambria" w:hAnsi="Cambria"/>
          <w:lang w:val="en-US"/>
        </w:rPr>
        <w:t>, and their</w:t>
      </w:r>
      <w:r w:rsidRPr="00213ACD">
        <w:rPr>
          <w:rFonts w:ascii="Cambria" w:hAnsi="Cambria"/>
          <w:lang w:val="en-US"/>
        </w:rPr>
        <w:t xml:space="preserve"> fiscal incentives and public financing policies</w:t>
      </w:r>
      <w:r w:rsidR="00EC493B">
        <w:rPr>
          <w:rFonts w:ascii="Cambria" w:hAnsi="Cambria"/>
          <w:lang w:val="en-US"/>
        </w:rPr>
        <w:t xml:space="preserve"> (see Tables 1-3)</w:t>
      </w:r>
      <w:r w:rsidR="006433E6">
        <w:rPr>
          <w:rFonts w:ascii="Cambria" w:hAnsi="Cambria"/>
          <w:lang w:val="en-US"/>
        </w:rPr>
        <w:t>.</w:t>
      </w:r>
    </w:p>
    <w:p w14:paraId="292B8B47" w14:textId="63B4794B" w:rsidR="000A28C7" w:rsidRPr="00213ACD" w:rsidRDefault="008F24D1" w:rsidP="000A28C7">
      <w:pPr>
        <w:rPr>
          <w:rFonts w:ascii="Cambria" w:hAnsi="Cambria"/>
          <w:lang w:val="en-US"/>
        </w:rPr>
      </w:pPr>
      <w:r w:rsidRPr="00213ACD">
        <w:rPr>
          <w:rFonts w:ascii="Cambria" w:hAnsi="Cambria"/>
          <w:lang w:val="en-US"/>
        </w:rPr>
        <w:tab/>
      </w:r>
      <w:r w:rsidR="0067642C" w:rsidRPr="00213ACD">
        <w:rPr>
          <w:rFonts w:ascii="Cambria" w:hAnsi="Cambria"/>
          <w:lang w:val="en-US"/>
        </w:rPr>
        <w:t xml:space="preserve">Except for Turkmenistan, all the countries in the region have precise </w:t>
      </w:r>
      <w:r w:rsidR="00823894" w:rsidRPr="00213ACD">
        <w:rPr>
          <w:rFonts w:ascii="Cambria" w:hAnsi="Cambria"/>
          <w:lang w:val="en-US"/>
        </w:rPr>
        <w:t>targets</w:t>
      </w:r>
      <w:r w:rsidR="00823894">
        <w:rPr>
          <w:rFonts w:ascii="Cambria" w:hAnsi="Cambria"/>
          <w:lang w:val="en-US"/>
        </w:rPr>
        <w:t xml:space="preserve"> for</w:t>
      </w:r>
      <w:r w:rsidR="00823894" w:rsidRPr="00213ACD">
        <w:rPr>
          <w:rFonts w:ascii="Cambria" w:hAnsi="Cambria"/>
          <w:lang w:val="en-US"/>
        </w:rPr>
        <w:t xml:space="preserve"> </w:t>
      </w:r>
      <w:r w:rsidR="0067642C" w:rsidRPr="00213ACD">
        <w:rPr>
          <w:rFonts w:ascii="Cambria" w:hAnsi="Cambria"/>
          <w:lang w:val="en-US"/>
        </w:rPr>
        <w:t>renewable energy capacity</w:t>
      </w:r>
      <w:r w:rsidR="00840186" w:rsidRPr="00213ACD">
        <w:rPr>
          <w:rFonts w:ascii="Cambria" w:hAnsi="Cambria"/>
          <w:lang w:val="en-US"/>
        </w:rPr>
        <w:t xml:space="preserve"> expansion</w:t>
      </w:r>
      <w:r w:rsidR="0067642C" w:rsidRPr="00213ACD">
        <w:rPr>
          <w:rFonts w:ascii="Cambria" w:hAnsi="Cambria"/>
          <w:lang w:val="en-US"/>
        </w:rPr>
        <w:t>. Ka</w:t>
      </w:r>
      <w:r w:rsidR="00840186" w:rsidRPr="00213ACD">
        <w:rPr>
          <w:rFonts w:ascii="Cambria" w:hAnsi="Cambria"/>
          <w:lang w:val="en-US"/>
        </w:rPr>
        <w:t>zakhstan and Kyrgyzstan have introduce</w:t>
      </w:r>
      <w:r w:rsidR="0096146D" w:rsidRPr="00213ACD">
        <w:rPr>
          <w:rFonts w:ascii="Cambria" w:hAnsi="Cambria"/>
          <w:lang w:val="en-US"/>
        </w:rPr>
        <w:t>d</w:t>
      </w:r>
      <w:r w:rsidR="00840186" w:rsidRPr="00213ACD">
        <w:rPr>
          <w:rFonts w:ascii="Cambria" w:hAnsi="Cambria"/>
          <w:lang w:val="en-US"/>
        </w:rPr>
        <w:t xml:space="preserve"> feed-in tariffs</w:t>
      </w:r>
      <w:r w:rsidR="00823894">
        <w:rPr>
          <w:rFonts w:ascii="Cambria" w:hAnsi="Cambria"/>
          <w:lang w:val="en-US"/>
        </w:rPr>
        <w:t>, while</w:t>
      </w:r>
      <w:r w:rsidR="00840186" w:rsidRPr="00213ACD">
        <w:rPr>
          <w:rFonts w:ascii="Cambria" w:hAnsi="Cambria"/>
          <w:lang w:val="en-US"/>
        </w:rPr>
        <w:t xml:space="preserve"> Kazakhstan and Tajikistan ha</w:t>
      </w:r>
      <w:r w:rsidR="0096146D" w:rsidRPr="00213ACD">
        <w:rPr>
          <w:rFonts w:ascii="Cambria" w:hAnsi="Cambria"/>
          <w:lang w:val="en-US"/>
        </w:rPr>
        <w:t>ve</w:t>
      </w:r>
      <w:r w:rsidR="00840186" w:rsidRPr="00213ACD">
        <w:rPr>
          <w:rFonts w:ascii="Cambria" w:hAnsi="Cambria"/>
          <w:lang w:val="en-US"/>
        </w:rPr>
        <w:t xml:space="preserve"> tradable </w:t>
      </w:r>
      <w:r w:rsidR="00823894">
        <w:rPr>
          <w:rFonts w:ascii="Cambria" w:hAnsi="Cambria"/>
          <w:lang w:val="en-US"/>
        </w:rPr>
        <w:t>r</w:t>
      </w:r>
      <w:r w:rsidR="00840186" w:rsidRPr="00213ACD">
        <w:rPr>
          <w:rFonts w:ascii="Cambria" w:hAnsi="Cambria"/>
          <w:lang w:val="en-US"/>
        </w:rPr>
        <w:t xml:space="preserve">enewable </w:t>
      </w:r>
      <w:r w:rsidR="00823894">
        <w:rPr>
          <w:rFonts w:ascii="Cambria" w:hAnsi="Cambria"/>
          <w:lang w:val="en-US"/>
        </w:rPr>
        <w:t>e</w:t>
      </w:r>
      <w:r w:rsidR="00840186" w:rsidRPr="00213ACD">
        <w:rPr>
          <w:rFonts w:ascii="Cambria" w:hAnsi="Cambria"/>
          <w:lang w:val="en-US"/>
        </w:rPr>
        <w:t xml:space="preserve">lectricity </w:t>
      </w:r>
      <w:r w:rsidR="00823894">
        <w:rPr>
          <w:rFonts w:ascii="Cambria" w:hAnsi="Cambria"/>
          <w:lang w:val="en-US"/>
        </w:rPr>
        <w:t>c</w:t>
      </w:r>
      <w:r w:rsidR="00840186" w:rsidRPr="00213ACD">
        <w:rPr>
          <w:rFonts w:ascii="Cambria" w:hAnsi="Cambria"/>
          <w:lang w:val="en-US"/>
        </w:rPr>
        <w:t>ertificates.</w:t>
      </w:r>
      <w:r w:rsidR="0096146D" w:rsidRPr="00213ACD">
        <w:rPr>
          <w:rFonts w:ascii="Cambria" w:hAnsi="Cambria"/>
          <w:lang w:val="en-US"/>
        </w:rPr>
        <w:t xml:space="preserve"> </w:t>
      </w:r>
      <w:r w:rsidR="005A5349" w:rsidRPr="00213ACD">
        <w:rPr>
          <w:rFonts w:ascii="Cambria" w:hAnsi="Cambria"/>
          <w:lang w:val="en-US"/>
        </w:rPr>
        <w:t xml:space="preserve">Turkmenistan has </w:t>
      </w:r>
      <w:r w:rsidR="0096146D" w:rsidRPr="00213ACD">
        <w:rPr>
          <w:rFonts w:ascii="Cambria" w:hAnsi="Cambria"/>
          <w:lang w:val="en-US"/>
        </w:rPr>
        <w:t xml:space="preserve">so far not established a </w:t>
      </w:r>
      <w:r w:rsidR="005A5349" w:rsidRPr="00213ACD">
        <w:rPr>
          <w:rFonts w:ascii="Cambria" w:hAnsi="Cambria"/>
          <w:lang w:val="en-US"/>
        </w:rPr>
        <w:t>renewable energy support policy.</w:t>
      </w:r>
    </w:p>
    <w:p w14:paraId="7856750C" w14:textId="77777777" w:rsidR="000A28C7" w:rsidRPr="00213ACD" w:rsidRDefault="000A28C7" w:rsidP="000A28C7">
      <w:pPr>
        <w:rPr>
          <w:rFonts w:ascii="Cambria" w:hAnsi="Cambria"/>
          <w:lang w:val="en-US"/>
        </w:rPr>
        <w:sectPr w:rsidR="000A28C7" w:rsidRPr="00213ACD" w:rsidSect="00F461DE">
          <w:type w:val="continuous"/>
          <w:pgSz w:w="11906" w:h="16838"/>
          <w:pgMar w:top="1440" w:right="1080" w:bottom="1440" w:left="1080" w:header="708" w:footer="708" w:gutter="0"/>
          <w:cols w:num="2" w:space="454"/>
          <w:docGrid w:linePitch="360"/>
        </w:sectPr>
      </w:pPr>
    </w:p>
    <w:p w14:paraId="1AF3FC95" w14:textId="1B869FCD" w:rsidR="000A28C7" w:rsidRPr="00213ACD" w:rsidRDefault="000A28C7" w:rsidP="000A28C7">
      <w:pPr>
        <w:rPr>
          <w:rFonts w:ascii="Cambria" w:hAnsi="Cambria"/>
          <w:lang w:val="en-US"/>
        </w:rPr>
      </w:pPr>
    </w:p>
    <w:p w14:paraId="2CD62406" w14:textId="77777777" w:rsidR="007750C9" w:rsidRPr="00213ACD" w:rsidRDefault="007750C9" w:rsidP="000A28C7">
      <w:pPr>
        <w:rPr>
          <w:rFonts w:ascii="Cambria" w:hAnsi="Cambria"/>
          <w:sz w:val="20"/>
          <w:szCs w:val="20"/>
          <w:lang w:val="en-US"/>
        </w:rPr>
      </w:pPr>
    </w:p>
    <w:p w14:paraId="1AD93F78" w14:textId="19E198A1" w:rsidR="0096146D" w:rsidRPr="00B27AA7" w:rsidRDefault="0096146D" w:rsidP="008F24D1">
      <w:pPr>
        <w:rPr>
          <w:rFonts w:ascii="Cambria" w:hAnsi="Cambria"/>
          <w:b/>
          <w:lang w:val="en-US"/>
        </w:rPr>
      </w:pPr>
      <w:proofErr w:type="gramStart"/>
      <w:r w:rsidRPr="00B27AA7">
        <w:rPr>
          <w:rFonts w:ascii="Cambria" w:hAnsi="Cambria"/>
          <w:b/>
          <w:lang w:val="en-US"/>
        </w:rPr>
        <w:t>Table 1.</w:t>
      </w:r>
      <w:proofErr w:type="gramEnd"/>
      <w:r w:rsidRPr="00B27AA7">
        <w:rPr>
          <w:rFonts w:ascii="Cambria" w:hAnsi="Cambria"/>
          <w:b/>
          <w:lang w:val="en-US"/>
        </w:rPr>
        <w:t xml:space="preserve"> </w:t>
      </w:r>
      <w:r w:rsidR="00374947" w:rsidRPr="00B27AA7">
        <w:rPr>
          <w:rFonts w:ascii="Cambria" w:hAnsi="Cambria"/>
          <w:b/>
          <w:lang w:val="en-US"/>
        </w:rPr>
        <w:t>Key energy statistics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"/>
        <w:gridCol w:w="865"/>
        <w:gridCol w:w="1985"/>
        <w:gridCol w:w="992"/>
        <w:gridCol w:w="1559"/>
        <w:gridCol w:w="1276"/>
        <w:gridCol w:w="1559"/>
      </w:tblGrid>
      <w:tr w:rsidR="008B3C57" w:rsidRPr="005503B3" w14:paraId="07F26692" w14:textId="77777777" w:rsidTr="007750C9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84403" w14:textId="77777777" w:rsidR="00374947" w:rsidRPr="00213ACD" w:rsidRDefault="00374947" w:rsidP="0037494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613E3" w14:textId="22EE1A4A" w:rsidR="00374947" w:rsidRPr="00213ACD" w:rsidRDefault="00374947" w:rsidP="0037494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TPES (</w:t>
            </w:r>
            <w:proofErr w:type="spellStart"/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Mtoe</w:t>
            </w:r>
            <w:proofErr w:type="spellEnd"/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5BB6A" w14:textId="7417900B" w:rsidR="00374947" w:rsidRPr="00213ACD" w:rsidRDefault="00374947" w:rsidP="0037494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TPES</w:t>
            </w:r>
            <w:r w:rsidR="008152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 xml:space="preserve"> per </w:t>
            </w: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GDP (PPP) (toe</w:t>
            </w:r>
            <w:r w:rsidR="008152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 xml:space="preserve"> per </w:t>
            </w: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thousand</w:t>
            </w:r>
            <w:r w:rsidR="008238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 xml:space="preserve"> 2005 USD)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3A415" w14:textId="77777777" w:rsidR="00374947" w:rsidRPr="00213ACD" w:rsidRDefault="00374947" w:rsidP="0037494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Net imports (</w:t>
            </w:r>
            <w:proofErr w:type="spellStart"/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Mtoe</w:t>
            </w:r>
            <w:proofErr w:type="spellEnd"/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A738D" w14:textId="77777777" w:rsidR="00374947" w:rsidRPr="00213ACD" w:rsidRDefault="00374947" w:rsidP="0037494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Electricity consumption (</w:t>
            </w:r>
            <w:proofErr w:type="spellStart"/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TWh</w:t>
            </w:r>
            <w:proofErr w:type="spellEnd"/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FAB5B" w14:textId="77777777" w:rsidR="00374947" w:rsidRPr="00213ACD" w:rsidRDefault="00374947" w:rsidP="0037494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C0</w:t>
            </w: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 xml:space="preserve"> emissions (Mt of CO</w:t>
            </w: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34B6C" w14:textId="77777777" w:rsidR="00374947" w:rsidRPr="00213ACD" w:rsidRDefault="00374947" w:rsidP="0037494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C0</w:t>
            </w: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 xml:space="preserve"> per capita </w:t>
            </w:r>
          </w:p>
          <w:p w14:paraId="708DB8AB" w14:textId="46FDE0EB" w:rsidR="00374947" w:rsidRPr="00213ACD" w:rsidRDefault="00374947" w:rsidP="0037494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(kg of CO</w:t>
            </w: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="008152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 xml:space="preserve"> per </w:t>
            </w:r>
            <w:r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capita)</w:t>
            </w:r>
          </w:p>
        </w:tc>
      </w:tr>
      <w:tr w:rsidR="008B3C57" w:rsidRPr="00F877D2" w14:paraId="7DD49A32" w14:textId="77777777" w:rsidTr="007750C9">
        <w:trPr>
          <w:trHeight w:val="283"/>
        </w:trPr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989F" w14:textId="77777777" w:rsidR="00374947" w:rsidRPr="00213ACD" w:rsidRDefault="00374947" w:rsidP="00374947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Kazakhstan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04B2" w14:textId="77777777" w:rsidR="00374947" w:rsidRPr="00916F66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916F6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74.85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0119" w14:textId="77777777" w:rsidR="00374947" w:rsidRPr="00F877D2" w:rsidRDefault="00374947" w:rsidP="008B3C57">
            <w:pPr>
              <w:tabs>
                <w:tab w:val="left" w:pos="1026"/>
                <w:tab w:val="left" w:pos="1168"/>
              </w:tabs>
              <w:spacing w:line="240" w:lineRule="auto"/>
              <w:ind w:right="601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ED28" w14:textId="77777777" w:rsidR="00374947" w:rsidRPr="00F877D2" w:rsidRDefault="00374947" w:rsidP="008B3C57">
            <w:pPr>
              <w:tabs>
                <w:tab w:val="left" w:pos="600"/>
              </w:tabs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-88.02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DF8B" w14:textId="77777777" w:rsidR="00374947" w:rsidRPr="00F877D2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69.21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79F7" w14:textId="77777777" w:rsidR="00374947" w:rsidRPr="00F877D2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225.78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C17C" w14:textId="77777777" w:rsidR="00374947" w:rsidRPr="00F877D2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13.88</w:t>
            </w:r>
          </w:p>
        </w:tc>
      </w:tr>
      <w:tr w:rsidR="008B3C57" w:rsidRPr="00F877D2" w14:paraId="0A9A4D83" w14:textId="77777777" w:rsidTr="007750C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5C6F" w14:textId="77777777" w:rsidR="00374947" w:rsidRPr="00213ACD" w:rsidRDefault="00374947" w:rsidP="00374947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Kyrgyzstan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FA4C" w14:textId="77777777" w:rsidR="00374947" w:rsidRPr="00916F66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916F6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4.13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05A2" w14:textId="77777777" w:rsidR="00374947" w:rsidRPr="00F877D2" w:rsidRDefault="00374947" w:rsidP="008B3C57">
            <w:pPr>
              <w:tabs>
                <w:tab w:val="left" w:pos="1026"/>
                <w:tab w:val="left" w:pos="1168"/>
              </w:tabs>
              <w:spacing w:line="240" w:lineRule="auto"/>
              <w:ind w:right="601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F163" w14:textId="77777777" w:rsidR="00374947" w:rsidRPr="00F877D2" w:rsidRDefault="00374947" w:rsidP="008B3C57">
            <w:pPr>
              <w:tabs>
                <w:tab w:val="left" w:pos="600"/>
              </w:tabs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2.52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657E" w14:textId="77777777" w:rsidR="00374947" w:rsidRPr="00F877D2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9.59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5670" w14:textId="77777777" w:rsidR="00374947" w:rsidRPr="00F877D2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9.51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BAFC" w14:textId="77777777" w:rsidR="00374947" w:rsidRPr="00F877D2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1.74</w:t>
            </w:r>
          </w:p>
        </w:tc>
      </w:tr>
      <w:tr w:rsidR="008B3C57" w:rsidRPr="00F877D2" w14:paraId="768E8305" w14:textId="77777777" w:rsidTr="007750C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46A5" w14:textId="77777777" w:rsidR="00374947" w:rsidRPr="00213ACD" w:rsidRDefault="00374947" w:rsidP="00374947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Tajikistan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20A6" w14:textId="77777777" w:rsidR="00374947" w:rsidRPr="00916F66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916F6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2.27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720B" w14:textId="77777777" w:rsidR="00374947" w:rsidRPr="00F877D2" w:rsidRDefault="00374947" w:rsidP="008B3C57">
            <w:pPr>
              <w:tabs>
                <w:tab w:val="left" w:pos="1026"/>
                <w:tab w:val="left" w:pos="1168"/>
              </w:tabs>
              <w:spacing w:line="240" w:lineRule="auto"/>
              <w:ind w:right="601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0603" w14:textId="77777777" w:rsidR="00374947" w:rsidRPr="00F877D2" w:rsidRDefault="00374947" w:rsidP="008B3C57">
            <w:pPr>
              <w:tabs>
                <w:tab w:val="left" w:pos="600"/>
              </w:tabs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57C9" w14:textId="77777777" w:rsidR="00374947" w:rsidRPr="00F877D2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13.87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AACA" w14:textId="77777777" w:rsidR="00374947" w:rsidRPr="00F877D2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2.74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C918" w14:textId="77777777" w:rsidR="00374947" w:rsidRPr="00F877D2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</w:tr>
      <w:tr w:rsidR="008B3C57" w:rsidRPr="00F877D2" w14:paraId="21F496C3" w14:textId="77777777" w:rsidTr="007750C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46D5" w14:textId="77777777" w:rsidR="00374947" w:rsidRPr="00213ACD" w:rsidRDefault="00374947" w:rsidP="00374947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Turkmenistan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4880" w14:textId="77777777" w:rsidR="00374947" w:rsidRPr="00916F66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916F6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25.57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184A" w14:textId="77777777" w:rsidR="00374947" w:rsidRPr="00F877D2" w:rsidRDefault="00374947" w:rsidP="008B3C57">
            <w:pPr>
              <w:tabs>
                <w:tab w:val="left" w:pos="1026"/>
                <w:tab w:val="left" w:pos="1168"/>
              </w:tabs>
              <w:spacing w:line="240" w:lineRule="auto"/>
              <w:ind w:right="601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94CB" w14:textId="77777777" w:rsidR="00374947" w:rsidRPr="00F877D2" w:rsidRDefault="00374947" w:rsidP="008B3C57">
            <w:pPr>
              <w:tabs>
                <w:tab w:val="left" w:pos="600"/>
              </w:tabs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-42.03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00C9" w14:textId="4A614022" w:rsidR="00374947" w:rsidRPr="00916F66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9.7</w:t>
            </w:r>
            <w:r w:rsidR="002D7FA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D053" w14:textId="77777777" w:rsidR="00374947" w:rsidRPr="00F877D2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63.82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C78E" w14:textId="77777777" w:rsidR="00374947" w:rsidRPr="00F877D2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12.34</w:t>
            </w:r>
          </w:p>
        </w:tc>
      </w:tr>
      <w:tr w:rsidR="008B3C57" w:rsidRPr="00F877D2" w14:paraId="2E30D87E" w14:textId="77777777" w:rsidTr="007750C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7A33" w14:textId="77777777" w:rsidR="00374947" w:rsidRPr="00213ACD" w:rsidRDefault="00374947" w:rsidP="00374947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Uzbekistan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DBAE" w14:textId="77777777" w:rsidR="00374947" w:rsidRPr="00916F66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916F6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48.28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844B" w14:textId="77777777" w:rsidR="00374947" w:rsidRPr="00F877D2" w:rsidRDefault="00374947" w:rsidP="008B3C57">
            <w:pPr>
              <w:tabs>
                <w:tab w:val="left" w:pos="1026"/>
                <w:tab w:val="left" w:pos="1168"/>
              </w:tabs>
              <w:spacing w:line="240" w:lineRule="auto"/>
              <w:ind w:right="601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022B" w14:textId="77777777" w:rsidR="00374947" w:rsidRPr="00F877D2" w:rsidRDefault="00374947" w:rsidP="008B3C57">
            <w:pPr>
              <w:tabs>
                <w:tab w:val="left" w:pos="600"/>
              </w:tabs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-8.46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0C0D" w14:textId="77777777" w:rsidR="00374947" w:rsidRPr="00F877D2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43.32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4628" w14:textId="77777777" w:rsidR="00374947" w:rsidRPr="00F877D2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111.14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5B0C" w14:textId="77777777" w:rsidR="00374947" w:rsidRPr="00F877D2" w:rsidRDefault="00374947" w:rsidP="00374947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3.89</w:t>
            </w:r>
          </w:p>
        </w:tc>
      </w:tr>
    </w:tbl>
    <w:p w14:paraId="6E96FEA9" w14:textId="1B64B06B" w:rsidR="000A11F4" w:rsidRPr="00F877D2" w:rsidRDefault="000A11F4" w:rsidP="0067642C">
      <w:pPr>
        <w:spacing w:line="240" w:lineRule="auto"/>
        <w:jc w:val="left"/>
        <w:rPr>
          <w:rFonts w:ascii="Cambria" w:hAnsi="Cambria"/>
          <w:sz w:val="20"/>
          <w:szCs w:val="20"/>
          <w:highlight w:val="yellow"/>
          <w:lang w:val="en-US"/>
        </w:rPr>
      </w:pPr>
    </w:p>
    <w:p w14:paraId="00D0B9D7" w14:textId="77777777" w:rsidR="0096146D" w:rsidRPr="00916F66" w:rsidRDefault="0096146D" w:rsidP="0067642C">
      <w:pPr>
        <w:spacing w:line="240" w:lineRule="auto"/>
        <w:jc w:val="left"/>
        <w:rPr>
          <w:rFonts w:ascii="Cambria" w:hAnsi="Cambria"/>
          <w:sz w:val="20"/>
          <w:szCs w:val="20"/>
          <w:highlight w:val="yellow"/>
          <w:lang w:val="en-US"/>
        </w:rPr>
      </w:pPr>
    </w:p>
    <w:p w14:paraId="372D852B" w14:textId="11FA5AB9" w:rsidR="003A345A" w:rsidRPr="00EC493B" w:rsidRDefault="0096146D" w:rsidP="00F461DE">
      <w:pPr>
        <w:pStyle w:val="Heading2"/>
        <w:numPr>
          <w:ilvl w:val="0"/>
          <w:numId w:val="0"/>
        </w:numPr>
        <w:ind w:left="357" w:hanging="357"/>
        <w:rPr>
          <w:rFonts w:ascii="Cambria" w:hAnsi="Cambria"/>
          <w:lang w:val="en-US"/>
        </w:rPr>
      </w:pPr>
      <w:proofErr w:type="gramStart"/>
      <w:r w:rsidRPr="00EC493B">
        <w:rPr>
          <w:rFonts w:ascii="Cambria" w:hAnsi="Cambria"/>
          <w:bCs w:val="0"/>
          <w:sz w:val="22"/>
          <w:szCs w:val="22"/>
          <w:lang w:val="en-US"/>
        </w:rPr>
        <w:t>Table 2.</w:t>
      </w:r>
      <w:proofErr w:type="gramEnd"/>
      <w:r w:rsidRPr="00EC493B">
        <w:rPr>
          <w:rFonts w:ascii="Cambria" w:hAnsi="Cambria"/>
          <w:bCs w:val="0"/>
          <w:sz w:val="22"/>
          <w:szCs w:val="22"/>
          <w:lang w:val="en-US"/>
        </w:rPr>
        <w:t xml:space="preserve"> </w:t>
      </w:r>
      <w:r w:rsidR="0067642C" w:rsidRPr="00EC493B">
        <w:rPr>
          <w:rFonts w:ascii="Cambria" w:hAnsi="Cambria"/>
          <w:bCs w:val="0"/>
          <w:sz w:val="22"/>
          <w:szCs w:val="22"/>
          <w:lang w:val="en-US"/>
        </w:rPr>
        <w:t>R</w:t>
      </w:r>
      <w:r w:rsidRPr="00EC493B">
        <w:rPr>
          <w:rFonts w:ascii="Cambria" w:hAnsi="Cambria"/>
          <w:bCs w:val="0"/>
          <w:sz w:val="22"/>
          <w:szCs w:val="22"/>
          <w:lang w:val="en-US"/>
        </w:rPr>
        <w:t>enewable energy r</w:t>
      </w:r>
      <w:r w:rsidR="00CB5ECF" w:rsidRPr="00EC493B">
        <w:rPr>
          <w:rFonts w:ascii="Cambria" w:hAnsi="Cambria"/>
          <w:bCs w:val="0"/>
          <w:sz w:val="22"/>
          <w:szCs w:val="22"/>
          <w:lang w:val="en-US"/>
        </w:rPr>
        <w:t>egulatory</w:t>
      </w:r>
      <w:r w:rsidR="003A345A" w:rsidRPr="00EC493B">
        <w:rPr>
          <w:rFonts w:ascii="Cambria" w:hAnsi="Cambria"/>
          <w:bCs w:val="0"/>
          <w:sz w:val="22"/>
          <w:szCs w:val="22"/>
          <w:lang w:val="en-US"/>
        </w:rPr>
        <w:t xml:space="preserve"> policies</w:t>
      </w:r>
    </w:p>
    <w:tbl>
      <w:tblPr>
        <w:tblW w:w="88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3"/>
        <w:gridCol w:w="709"/>
        <w:gridCol w:w="1134"/>
        <w:gridCol w:w="1134"/>
        <w:gridCol w:w="850"/>
        <w:gridCol w:w="1134"/>
        <w:gridCol w:w="851"/>
        <w:gridCol w:w="992"/>
        <w:gridCol w:w="851"/>
      </w:tblGrid>
      <w:tr w:rsidR="00FD52CA" w:rsidRPr="00F877D2" w14:paraId="1A85DB58" w14:textId="77777777" w:rsidTr="00FD52CA">
        <w:trPr>
          <w:trHeight w:val="283"/>
        </w:trPr>
        <w:tc>
          <w:tcPr>
            <w:tcW w:w="1183" w:type="dxa"/>
            <w:tcBorders>
              <w:top w:val="single" w:sz="8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A299E6" w14:textId="77777777" w:rsidR="00CB5ECF" w:rsidRPr="00F877D2" w:rsidRDefault="00CB5ECF" w:rsidP="00CB5ECF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F6FE5E" w14:textId="5A0BC12B" w:rsidR="00CB5ECF" w:rsidRPr="00F877D2" w:rsidRDefault="00EB3F4E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 xml:space="preserve">RE </w:t>
            </w:r>
            <w:r w:rsidR="00CB5ECF"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target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8958FA" w14:textId="3365692A" w:rsidR="00CB5ECF" w:rsidRPr="00F877D2" w:rsidRDefault="00CB5E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Biofuels obligation/mandate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27602F" w14:textId="5CAF7F7B" w:rsidR="00CB5ECF" w:rsidRPr="00F877D2" w:rsidRDefault="00CB5E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Electric utility quota obligation/RPS</w:t>
            </w: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A1E474" w14:textId="40CDE149" w:rsidR="00CB5ECF" w:rsidRPr="00F877D2" w:rsidRDefault="00CB5E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Feed-in tariff/</w:t>
            </w:r>
            <w:r w:rsidR="00EB3F4E"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premium payment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C6403B" w14:textId="37D18F0B" w:rsidR="00CB5ECF" w:rsidRPr="00F877D2" w:rsidRDefault="00CB5E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Heat obligation/mandate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9B0EA5" w14:textId="77777777" w:rsidR="00CB5ECF" w:rsidRPr="00F877D2" w:rsidRDefault="00CB5E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Net metering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8DA97B" w14:textId="77777777" w:rsidR="00CB5ECF" w:rsidRPr="00F877D2" w:rsidRDefault="00CB5E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Tendering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ABAFD9" w14:textId="77777777" w:rsidR="00CB5ECF" w:rsidRPr="00F877D2" w:rsidRDefault="00CB5E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Tradable REC</w:t>
            </w:r>
          </w:p>
        </w:tc>
      </w:tr>
      <w:tr w:rsidR="00FD52CA" w:rsidRPr="00F877D2" w14:paraId="23E6CCA6" w14:textId="77777777" w:rsidTr="00FD52CA">
        <w:trPr>
          <w:trHeight w:val="97"/>
        </w:trPr>
        <w:tc>
          <w:tcPr>
            <w:tcW w:w="1183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C8BB3" w14:textId="32AA339C" w:rsidR="00CB5ECF" w:rsidRPr="00213ACD" w:rsidRDefault="00BE0BE4" w:rsidP="00CB5ECF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Kazakhstan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80580" w14:textId="12933662" w:rsidR="00CB5ECF" w:rsidRPr="00916F66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916F66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7F788" w14:textId="3EC7310F" w:rsidR="00CB5ECF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01C29" w14:textId="13E56D31" w:rsidR="00CB5ECF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B51F1E" w14:textId="526F4B96" w:rsidR="00CB5ECF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7B403" w14:textId="3D66976F" w:rsidR="00CB5ECF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1C981" w14:textId="78BF3421" w:rsidR="00CB5ECF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C41CB" w14:textId="6EDD1316" w:rsidR="00CB5ECF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4B9C0" w14:textId="4847F4EA" w:rsidR="00CB5ECF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FD52CA" w:rsidRPr="00F877D2" w14:paraId="603464F7" w14:textId="77777777" w:rsidTr="00FD52CA">
        <w:trPr>
          <w:trHeight w:val="283"/>
        </w:trPr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2EBF3" w14:textId="3590136F" w:rsidR="00BE0BE4" w:rsidRPr="00213ACD" w:rsidRDefault="00BE0BE4" w:rsidP="00CB5ECF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Kyrgyzstan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28BE4" w14:textId="7FED48BB" w:rsidR="00BE0BE4" w:rsidRPr="00916F66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916F66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D6FA9" w14:textId="047B066E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18B53" w14:textId="1B5E475F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AABC55" w14:textId="11B16CD1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7BFCD" w14:textId="05BDB860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5FAC8" w14:textId="5624EBCB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2A64C" w14:textId="22E7B9E3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26AB5" w14:textId="5C681A60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</w:tr>
      <w:tr w:rsidR="00FD52CA" w:rsidRPr="00F877D2" w14:paraId="24D30711" w14:textId="77777777" w:rsidTr="00FD52CA">
        <w:trPr>
          <w:trHeight w:val="283"/>
        </w:trPr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45C43C" w14:textId="77777777" w:rsidR="00BE0BE4" w:rsidRPr="00213ACD" w:rsidRDefault="00BE0BE4" w:rsidP="00CB5ECF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Tajikistan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861A05" w14:textId="65D477BC" w:rsidR="00BE0BE4" w:rsidRPr="00916F66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916F66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A1250E" w14:textId="6DF25E8C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1771DD" w14:textId="6341D840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77F4B6" w14:textId="7EDC52D6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F3EA9F" w14:textId="1C7FE5F5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7C9D04" w14:textId="7AB1DF30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A098B0" w14:textId="7688664A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0E8A0F" w14:textId="4D7918F0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</w:tr>
      <w:tr w:rsidR="00FD52CA" w:rsidRPr="00F877D2" w14:paraId="687D0AB8" w14:textId="77777777" w:rsidTr="00FD52CA">
        <w:trPr>
          <w:trHeight w:val="283"/>
        </w:trPr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C2D1B2" w14:textId="0FFE647E" w:rsidR="00BE0BE4" w:rsidRPr="00916F66" w:rsidRDefault="00BE0BE4" w:rsidP="00CB5ECF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Turkmen</w:t>
            </w:r>
            <w:r w:rsidR="00FD52CA" w:rsidRPr="00213A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36E2F" w14:textId="65F69F6C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D6D6B7" w14:textId="0A3C40F2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F81BED" w14:textId="038E3AFB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5406E0" w14:textId="0554E45F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98868F" w14:textId="6DB26F94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6EE4DC" w14:textId="5C563B84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4E7549" w14:textId="7CF2849F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F62F2F" w14:textId="0EF6352C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FD52CA" w:rsidRPr="00F877D2" w14:paraId="75813F10" w14:textId="77777777" w:rsidTr="00FD52CA">
        <w:trPr>
          <w:trHeight w:val="283"/>
        </w:trPr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111D5F" w14:textId="77777777" w:rsidR="00BE0BE4" w:rsidRPr="00213ACD" w:rsidRDefault="00BE0BE4" w:rsidP="00CB5ECF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Uzbekistan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A087E6" w14:textId="2C35A319" w:rsidR="00BE0BE4" w:rsidRPr="00916F66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916F66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8A59D8" w14:textId="5FC444BE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A5A4C3" w14:textId="6FF1CF36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E98E4" w14:textId="6D72BD1B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2C4AAD" w14:textId="1BE8D0FB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39C59B" w14:textId="705D9CEB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5EC7C4" w14:textId="590163AD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2278CD" w14:textId="7DF18490" w:rsidR="00BE0BE4" w:rsidRPr="00F877D2" w:rsidRDefault="008019CF" w:rsidP="00EB3F4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14:paraId="0767EC82" w14:textId="77777777" w:rsidR="00CB5ECF" w:rsidRPr="00F877D2" w:rsidRDefault="00CB5ECF" w:rsidP="00CB5ECF">
      <w:pPr>
        <w:rPr>
          <w:rFonts w:ascii="Cambria" w:hAnsi="Cambria"/>
          <w:sz w:val="20"/>
          <w:szCs w:val="20"/>
          <w:highlight w:val="yellow"/>
          <w:lang w:val="en-US"/>
        </w:rPr>
      </w:pPr>
    </w:p>
    <w:p w14:paraId="72552895" w14:textId="77777777" w:rsidR="009A32C0" w:rsidRPr="00916F66" w:rsidRDefault="009A32C0" w:rsidP="00CB5ECF">
      <w:pPr>
        <w:rPr>
          <w:rFonts w:ascii="Cambria" w:hAnsi="Cambria"/>
          <w:sz w:val="20"/>
          <w:szCs w:val="20"/>
          <w:highlight w:val="yellow"/>
          <w:lang w:val="en-US"/>
        </w:rPr>
      </w:pPr>
    </w:p>
    <w:p w14:paraId="15C73DE1" w14:textId="5A36DB28" w:rsidR="00CB5ECF" w:rsidRPr="00B27AA7" w:rsidRDefault="0096146D" w:rsidP="00F461DE">
      <w:pPr>
        <w:pStyle w:val="Heading2"/>
        <w:numPr>
          <w:ilvl w:val="0"/>
          <w:numId w:val="0"/>
        </w:numPr>
        <w:ind w:left="357" w:hanging="357"/>
        <w:rPr>
          <w:rFonts w:ascii="Cambria" w:hAnsi="Cambria"/>
          <w:highlight w:val="yellow"/>
          <w:lang w:val="en-US"/>
        </w:rPr>
      </w:pPr>
      <w:proofErr w:type="gramStart"/>
      <w:r w:rsidRPr="00803508">
        <w:rPr>
          <w:rFonts w:ascii="Cambria" w:hAnsi="Cambria"/>
          <w:bCs w:val="0"/>
          <w:sz w:val="22"/>
          <w:szCs w:val="22"/>
          <w:lang w:val="en-US"/>
        </w:rPr>
        <w:t>Table 3.</w:t>
      </w:r>
      <w:proofErr w:type="gramEnd"/>
      <w:r w:rsidRPr="00803508">
        <w:rPr>
          <w:rFonts w:ascii="Cambria" w:hAnsi="Cambria"/>
          <w:bCs w:val="0"/>
          <w:sz w:val="22"/>
          <w:szCs w:val="22"/>
          <w:lang w:val="en-US"/>
        </w:rPr>
        <w:t xml:space="preserve"> </w:t>
      </w:r>
      <w:r w:rsidR="0067642C" w:rsidRPr="00803508">
        <w:rPr>
          <w:rFonts w:ascii="Cambria" w:hAnsi="Cambria"/>
          <w:bCs w:val="0"/>
          <w:sz w:val="22"/>
          <w:szCs w:val="22"/>
          <w:lang w:val="en-US"/>
        </w:rPr>
        <w:t>F</w:t>
      </w:r>
      <w:r w:rsidR="00CB5ECF" w:rsidRPr="00803508">
        <w:rPr>
          <w:rFonts w:ascii="Cambria" w:hAnsi="Cambria"/>
          <w:bCs w:val="0"/>
          <w:sz w:val="22"/>
          <w:szCs w:val="22"/>
          <w:lang w:val="en-US"/>
        </w:rPr>
        <w:t xml:space="preserve">iscal incentives and public </w:t>
      </w:r>
      <w:r w:rsidRPr="00803508">
        <w:rPr>
          <w:rFonts w:ascii="Cambria" w:hAnsi="Cambria"/>
          <w:bCs w:val="0"/>
          <w:sz w:val="22"/>
          <w:szCs w:val="22"/>
          <w:lang w:val="en-US"/>
        </w:rPr>
        <w:t xml:space="preserve">financial support for renewable energy development 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1"/>
        <w:gridCol w:w="974"/>
        <w:gridCol w:w="1276"/>
        <w:gridCol w:w="1559"/>
        <w:gridCol w:w="1559"/>
        <w:gridCol w:w="1985"/>
      </w:tblGrid>
      <w:tr w:rsidR="00840186" w:rsidRPr="005503B3" w14:paraId="680BD813" w14:textId="77777777" w:rsidTr="007750C9">
        <w:trPr>
          <w:trHeight w:val="283"/>
        </w:trPr>
        <w:tc>
          <w:tcPr>
            <w:tcW w:w="1451" w:type="dxa"/>
            <w:tcBorders>
              <w:top w:val="single" w:sz="8" w:space="0" w:color="auto"/>
              <w:bottom w:val="double" w:sz="4" w:space="0" w:color="auto"/>
            </w:tcBorders>
            <w:vAlign w:val="center"/>
            <w:hideMark/>
          </w:tcPr>
          <w:p w14:paraId="7D038520" w14:textId="77777777" w:rsidR="00CB5ECF" w:rsidRPr="00F877D2" w:rsidRDefault="00CB5ECF" w:rsidP="007750C9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B171EC7" w14:textId="6A79ABFF" w:rsidR="00CB5ECF" w:rsidRPr="00F877D2" w:rsidRDefault="00CB5ECF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Capital subsidy/rebate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1047F67" w14:textId="77777777" w:rsidR="00CB5ECF" w:rsidRPr="00F877D2" w:rsidRDefault="00CB5ECF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Energy production payment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498545A" w14:textId="182960E5" w:rsidR="00CB5ECF" w:rsidRPr="00F877D2" w:rsidRDefault="00CB5ECF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Investment</w:t>
            </w:r>
            <w:r w:rsidR="00C8625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916F6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 xml:space="preserve"> production tax credits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2E8FAE8" w14:textId="4C084DA1" w:rsidR="00CB5ECF" w:rsidRPr="00916F66" w:rsidRDefault="00CB5ECF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Public investment, loans</w:t>
            </w:r>
            <w:r w:rsidR="00C8625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916F6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 xml:space="preserve"> or grants</w:t>
            </w:r>
          </w:p>
        </w:tc>
        <w:tc>
          <w:tcPr>
            <w:tcW w:w="1985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EEE53A7" w14:textId="7596E6BD" w:rsidR="00CB5ECF" w:rsidRPr="00916F66" w:rsidRDefault="00CB5ECF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Reduction in sales, energy, CO</w:t>
            </w: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, VAT</w:t>
            </w:r>
            <w:r w:rsidR="00C8625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916F6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 xml:space="preserve"> or other taxes</w:t>
            </w:r>
          </w:p>
        </w:tc>
      </w:tr>
      <w:tr w:rsidR="00840186" w:rsidRPr="00F877D2" w14:paraId="127B54C0" w14:textId="77777777" w:rsidTr="007750C9">
        <w:trPr>
          <w:trHeight w:val="283"/>
        </w:trPr>
        <w:tc>
          <w:tcPr>
            <w:tcW w:w="14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6D49C3" w14:textId="59CA2C34" w:rsidR="00CB5ECF" w:rsidRPr="00213ACD" w:rsidRDefault="006D026C" w:rsidP="007750C9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Kazakhstan</w:t>
            </w:r>
          </w:p>
        </w:tc>
        <w:tc>
          <w:tcPr>
            <w:tcW w:w="9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B39727" w14:textId="3E44DA3E" w:rsidR="00CB5ECF" w:rsidRPr="00916F66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916F6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BAA0C9" w14:textId="76C8C470" w:rsidR="00CB5ECF" w:rsidRPr="00F877D2" w:rsidRDefault="007A76D9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B73541" w14:textId="42AEB646" w:rsidR="00CB5ECF" w:rsidRPr="00F877D2" w:rsidRDefault="000405F9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2F095" w14:textId="4393744B" w:rsidR="00CB5ECF" w:rsidRPr="00F877D2" w:rsidRDefault="000405F9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54422B" w14:textId="0AE14B6C" w:rsidR="00CB5ECF" w:rsidRPr="00F877D2" w:rsidRDefault="000405F9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</w:tr>
      <w:tr w:rsidR="00840186" w:rsidRPr="00F877D2" w14:paraId="4E6CAF73" w14:textId="77777777" w:rsidTr="007750C9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00C67169" w14:textId="60DCD8F6" w:rsidR="006D026C" w:rsidRPr="00213ACD" w:rsidRDefault="006D026C" w:rsidP="007750C9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Kyrgyzstan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7F98ADB" w14:textId="137C331B" w:rsidR="006D026C" w:rsidRPr="00916F66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916F6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0D8DE" w14:textId="1EC14F34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C6B68" w14:textId="790840CC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13572" w14:textId="4CAADA2E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FC26E2" w14:textId="5180EB28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</w:tr>
      <w:tr w:rsidR="00840186" w:rsidRPr="00F877D2" w14:paraId="59FA1666" w14:textId="77777777" w:rsidTr="007750C9">
        <w:trPr>
          <w:trHeight w:val="283"/>
        </w:trPr>
        <w:tc>
          <w:tcPr>
            <w:tcW w:w="1451" w:type="dxa"/>
            <w:shd w:val="clear" w:color="auto" w:fill="auto"/>
            <w:vAlign w:val="center"/>
            <w:hideMark/>
          </w:tcPr>
          <w:p w14:paraId="206EF729" w14:textId="0C1866EA" w:rsidR="006D026C" w:rsidRPr="00213ACD" w:rsidRDefault="006D026C" w:rsidP="007750C9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Tajikistan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5C0C9637" w14:textId="2F9BB126" w:rsidR="006D026C" w:rsidRPr="00916F66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916F6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BB044" w14:textId="580E6CE2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D61D50" w14:textId="7330BE70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2F3C29" w14:textId="400BED56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Apple Color Emoji" w:eastAsia="Times New Roman" w:hAnsi="Apple Color Emoji" w:cs="Apple Color Emoji"/>
                <w:color w:val="000000"/>
                <w:sz w:val="20"/>
                <w:szCs w:val="20"/>
                <w:lang w:val="en-US"/>
              </w:rPr>
              <w:t>✔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23D047" w14:textId="101F09C5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840186" w:rsidRPr="00F877D2" w14:paraId="76D53191" w14:textId="77777777" w:rsidTr="007750C9">
        <w:trPr>
          <w:trHeight w:val="283"/>
        </w:trPr>
        <w:tc>
          <w:tcPr>
            <w:tcW w:w="1451" w:type="dxa"/>
            <w:shd w:val="clear" w:color="auto" w:fill="auto"/>
            <w:vAlign w:val="center"/>
            <w:hideMark/>
          </w:tcPr>
          <w:p w14:paraId="6A3A2264" w14:textId="77777777" w:rsidR="006D026C" w:rsidRPr="00213ACD" w:rsidRDefault="006D026C" w:rsidP="007750C9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Turkmenistan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53464047" w14:textId="05040A03" w:rsidR="006D026C" w:rsidRPr="00916F66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916F6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1CB77D" w14:textId="46D894CB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B80C20" w14:textId="5621DFE8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62009" w14:textId="1165E46B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F7CF37" w14:textId="375BF148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840186" w:rsidRPr="00F877D2" w14:paraId="75EA95D2" w14:textId="77777777" w:rsidTr="007750C9">
        <w:trPr>
          <w:trHeight w:val="283"/>
        </w:trPr>
        <w:tc>
          <w:tcPr>
            <w:tcW w:w="1451" w:type="dxa"/>
            <w:shd w:val="clear" w:color="auto" w:fill="auto"/>
            <w:vAlign w:val="center"/>
            <w:hideMark/>
          </w:tcPr>
          <w:p w14:paraId="6BDB778B" w14:textId="77777777" w:rsidR="006D026C" w:rsidRPr="00213ACD" w:rsidRDefault="006D026C" w:rsidP="007750C9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lang w:val="en-US"/>
              </w:rPr>
              <w:t>Uzbekistan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5D85F0AD" w14:textId="18A8DFE3" w:rsidR="006D026C" w:rsidRPr="00916F66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916F66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6F0D50" w14:textId="53BE8A89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5EA88E" w14:textId="4B8E9BB5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75180A" w14:textId="296A30DB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282A46" w14:textId="79FC3FB5" w:rsidR="006D026C" w:rsidRPr="00F877D2" w:rsidRDefault="006D026C" w:rsidP="007750C9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</w:tr>
    </w:tbl>
    <w:p w14:paraId="27AF6D56" w14:textId="5B063382" w:rsidR="00FD52CA" w:rsidRPr="00F877D2" w:rsidRDefault="00FD52CA">
      <w:pPr>
        <w:spacing w:line="240" w:lineRule="auto"/>
        <w:jc w:val="left"/>
        <w:rPr>
          <w:rFonts w:ascii="Cambria" w:hAnsi="Cambria"/>
          <w:highlight w:val="yellow"/>
          <w:lang w:val="en-US"/>
        </w:rPr>
      </w:pPr>
    </w:p>
    <w:p w14:paraId="17F2F1F3" w14:textId="37632BCD" w:rsidR="006B1A44" w:rsidRPr="00916F66" w:rsidRDefault="006B1A44">
      <w:pPr>
        <w:spacing w:line="240" w:lineRule="auto"/>
        <w:jc w:val="left"/>
        <w:rPr>
          <w:rFonts w:ascii="Cambria" w:hAnsi="Cambria"/>
          <w:highlight w:val="yellow"/>
          <w:lang w:val="en-US"/>
        </w:rPr>
      </w:pPr>
    </w:p>
    <w:p w14:paraId="25161528" w14:textId="77777777" w:rsidR="00090D65" w:rsidRDefault="00090D65">
      <w:pPr>
        <w:spacing w:line="240" w:lineRule="auto"/>
        <w:jc w:val="left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br w:type="page"/>
      </w:r>
    </w:p>
    <w:p w14:paraId="5108D5FD" w14:textId="6075DFC3" w:rsidR="006B1A44" w:rsidRPr="00916F66" w:rsidRDefault="00FD52CA" w:rsidP="00F461DE">
      <w:pPr>
        <w:spacing w:line="240" w:lineRule="auto"/>
        <w:rPr>
          <w:rFonts w:ascii="Cambria" w:hAnsi="Cambria"/>
          <w:b/>
          <w:lang w:val="en-US"/>
        </w:rPr>
      </w:pPr>
      <w:r w:rsidRPr="00916F66">
        <w:rPr>
          <w:rFonts w:ascii="Cambria" w:hAnsi="Cambria"/>
          <w:b/>
          <w:lang w:val="en-US"/>
        </w:rPr>
        <w:lastRenderedPageBreak/>
        <w:t>Abbreviations and terminology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284"/>
        <w:gridCol w:w="1417"/>
        <w:gridCol w:w="3686"/>
      </w:tblGrid>
      <w:tr w:rsidR="001F68BA" w:rsidRPr="00F877D2" w14:paraId="4CC0C369" w14:textId="5D9A55F2" w:rsidTr="00803508">
        <w:tc>
          <w:tcPr>
            <w:tcW w:w="84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E71FC6E" w14:textId="4347CE1D" w:rsidR="001F68BA" w:rsidRPr="00F877D2" w:rsidRDefault="001F68BA" w:rsidP="001F68BA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r w:rsidRPr="00F877D2"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Mt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5EDBEE2" w14:textId="7062F7AB" w:rsidR="001F68BA" w:rsidRPr="00F877D2" w:rsidRDefault="001F68BA" w:rsidP="001F68BA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r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m</w:t>
            </w:r>
            <w:r w:rsidRPr="00F877D2"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illion tons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DC7A0B4" w14:textId="77777777" w:rsidR="001F68BA" w:rsidRPr="00F877D2" w:rsidRDefault="001F68BA" w:rsidP="001F68BA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39D5D46" w14:textId="14AA7901" w:rsidR="001F68BA" w:rsidRPr="00F877D2" w:rsidRDefault="001F68BA" w:rsidP="001F68BA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r w:rsidRPr="00F877D2"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tradable REC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4E01ADB" w14:textId="6AF0E8D6" w:rsidR="001F68BA" w:rsidRPr="00F877D2" w:rsidRDefault="001F68BA" w:rsidP="001F68BA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r w:rsidRPr="00916F66"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tradable renewable energy certificate</w:t>
            </w:r>
          </w:p>
        </w:tc>
      </w:tr>
      <w:tr w:rsidR="001F68BA" w:rsidRPr="00F877D2" w14:paraId="2B72AE8D" w14:textId="2472F34A" w:rsidTr="00803508">
        <w:tc>
          <w:tcPr>
            <w:tcW w:w="846" w:type="dxa"/>
            <w:tcMar>
              <w:left w:w="28" w:type="dxa"/>
              <w:right w:w="28" w:type="dxa"/>
            </w:tcMar>
          </w:tcPr>
          <w:p w14:paraId="66235CAD" w14:textId="487F15F2" w:rsidR="001F68BA" w:rsidRPr="00213ACD" w:rsidRDefault="001F68BA" w:rsidP="001F68BA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proofErr w:type="spellStart"/>
            <w:r w:rsidRPr="00F877D2"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Mtoe</w:t>
            </w:r>
            <w:proofErr w:type="spellEnd"/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75A73A40" w14:textId="0A07386D" w:rsidR="001F68BA" w:rsidRPr="00F877D2" w:rsidRDefault="001F68BA" w:rsidP="001F68BA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r w:rsidRPr="00916F66"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million tons of oil equivalents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E0ABD2E" w14:textId="77777777" w:rsidR="001F68BA" w:rsidRPr="00F877D2" w:rsidRDefault="001F68BA" w:rsidP="001F68BA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14B21E3" w14:textId="372152E7" w:rsidR="001F68BA" w:rsidRPr="00F877D2" w:rsidRDefault="001F68BA" w:rsidP="001F68BA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r w:rsidRPr="00F877D2">
              <w:rPr>
                <w:rFonts w:ascii="Cambria" w:eastAsia="Times New Roman" w:hAnsi="Cambria" w:cs="Times New Roman"/>
                <w:color w:val="000000"/>
                <w:lang w:val="en-US"/>
              </w:rPr>
              <w:t>TPES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68EC2C68" w14:textId="147636D2" w:rsidR="001F68BA" w:rsidRPr="00F877D2" w:rsidRDefault="001F68BA" w:rsidP="001F68BA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r w:rsidRPr="00F877D2"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total primary energy supply</w:t>
            </w:r>
          </w:p>
        </w:tc>
      </w:tr>
      <w:tr w:rsidR="001F68BA" w:rsidRPr="00F877D2" w14:paraId="39C49958" w14:textId="77777777" w:rsidTr="00803508">
        <w:tc>
          <w:tcPr>
            <w:tcW w:w="846" w:type="dxa"/>
            <w:tcMar>
              <w:left w:w="28" w:type="dxa"/>
              <w:right w:w="28" w:type="dxa"/>
            </w:tcMar>
          </w:tcPr>
          <w:p w14:paraId="609DE52C" w14:textId="29909C08" w:rsidR="001F68BA" w:rsidRPr="00F877D2" w:rsidRDefault="001F68BA" w:rsidP="001F68BA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r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RE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246DC059" w14:textId="5C090510" w:rsidR="001F68BA" w:rsidRPr="00916F66" w:rsidRDefault="001F68BA" w:rsidP="001F68BA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r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renewable energy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178D75F" w14:textId="77777777" w:rsidR="001F68BA" w:rsidRPr="00F877D2" w:rsidRDefault="001F68BA" w:rsidP="001F68BA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3EB2477" w14:textId="3374A165" w:rsidR="001F68BA" w:rsidRPr="00F877D2" w:rsidRDefault="001F68BA" w:rsidP="001F68BA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F877D2">
              <w:rPr>
                <w:rFonts w:ascii="Cambria" w:eastAsia="Times New Roman" w:hAnsi="Cambria" w:cs="Times New Roman"/>
                <w:color w:val="000000"/>
                <w:lang w:val="en-US"/>
              </w:rPr>
              <w:t>TWh</w:t>
            </w:r>
            <w:proofErr w:type="spellEnd"/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5EE2B19C" w14:textId="1C60781C" w:rsidR="001F68BA" w:rsidRPr="00F877D2" w:rsidRDefault="001F68BA" w:rsidP="001F68BA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r w:rsidRPr="00F877D2"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terawatt hours</w:t>
            </w:r>
          </w:p>
        </w:tc>
      </w:tr>
      <w:tr w:rsidR="001F68BA" w:rsidRPr="00F877D2" w14:paraId="2CF4E28C" w14:textId="47707968" w:rsidTr="00803508">
        <w:tc>
          <w:tcPr>
            <w:tcW w:w="846" w:type="dxa"/>
            <w:tcMar>
              <w:left w:w="28" w:type="dxa"/>
              <w:right w:w="28" w:type="dxa"/>
            </w:tcMar>
          </w:tcPr>
          <w:p w14:paraId="699F1017" w14:textId="630A07C9" w:rsidR="006B1A44" w:rsidRPr="00213ACD" w:rsidRDefault="006B1A44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r w:rsidRPr="00F877D2"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RPS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16393D64" w14:textId="71B78997" w:rsidR="006B1A44" w:rsidRPr="00916F66" w:rsidRDefault="004D261C" w:rsidP="006B1A44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r w:rsidRPr="00916F66"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renewable energy portfolio standard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C4A5AFB" w14:textId="77777777" w:rsidR="006B1A44" w:rsidRPr="00F877D2" w:rsidRDefault="006B1A44" w:rsidP="006B1A44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65F5FB2" w14:textId="2D088E5D" w:rsidR="006B1A44" w:rsidRPr="00F877D2" w:rsidRDefault="006B1A44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r w:rsidRPr="00F877D2"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VAT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40EE6CA3" w14:textId="44298617" w:rsidR="006B1A44" w:rsidRPr="00F877D2" w:rsidRDefault="006B1A44" w:rsidP="006B1A44">
            <w:pPr>
              <w:spacing w:line="240" w:lineRule="auto"/>
              <w:jc w:val="left"/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</w:pPr>
            <w:r w:rsidRPr="00F877D2">
              <w:rPr>
                <w:rFonts w:ascii="Cambria" w:eastAsiaTheme="majorEastAsia" w:hAnsi="Cambria" w:cstheme="majorBidi"/>
                <w:bCs/>
                <w:color w:val="000000" w:themeColor="text1"/>
                <w:lang w:val="en-US"/>
              </w:rPr>
              <w:t>value added tax</w:t>
            </w:r>
          </w:p>
        </w:tc>
      </w:tr>
    </w:tbl>
    <w:p w14:paraId="16469E41" w14:textId="36F793D7" w:rsidR="006B1A44" w:rsidRDefault="006B1A44" w:rsidP="00973B36">
      <w:pPr>
        <w:spacing w:line="240" w:lineRule="auto"/>
        <w:rPr>
          <w:rFonts w:ascii="Cambria" w:hAnsi="Cambria"/>
          <w:highlight w:val="yellow"/>
          <w:lang w:val="en-US"/>
        </w:rPr>
      </w:pPr>
    </w:p>
    <w:p w14:paraId="0A8A7B13" w14:textId="08FEC63A" w:rsidR="0096146D" w:rsidRDefault="0096146D" w:rsidP="00973B36">
      <w:pPr>
        <w:spacing w:line="240" w:lineRule="auto"/>
        <w:rPr>
          <w:rFonts w:ascii="Cambria" w:eastAsiaTheme="majorEastAsia" w:hAnsi="Cambria" w:cstheme="majorBidi"/>
          <w:b/>
          <w:bCs/>
          <w:color w:val="000000" w:themeColor="text1"/>
          <w:sz w:val="24"/>
          <w:szCs w:val="26"/>
          <w:lang w:val="en-US"/>
        </w:rPr>
      </w:pPr>
    </w:p>
    <w:p w14:paraId="310750C0" w14:textId="77777777" w:rsidR="00090D65" w:rsidRDefault="00090D65" w:rsidP="00973B36">
      <w:pPr>
        <w:spacing w:line="240" w:lineRule="auto"/>
        <w:rPr>
          <w:rFonts w:ascii="Cambria" w:eastAsiaTheme="majorEastAsia" w:hAnsi="Cambria" w:cstheme="majorBidi"/>
          <w:b/>
          <w:bCs/>
          <w:color w:val="000000" w:themeColor="text1"/>
          <w:sz w:val="24"/>
          <w:szCs w:val="26"/>
          <w:lang w:val="en-US"/>
        </w:rPr>
      </w:pPr>
    </w:p>
    <w:p w14:paraId="42C0AF8E" w14:textId="203B0727" w:rsidR="00090D65" w:rsidRPr="00090D65" w:rsidRDefault="00090D65" w:rsidP="00973B36">
      <w:pPr>
        <w:spacing w:line="240" w:lineRule="auto"/>
        <w:rPr>
          <w:rFonts w:ascii="Cambria" w:eastAsiaTheme="majorEastAsia" w:hAnsi="Cambria" w:cstheme="majorBidi"/>
          <w:b/>
          <w:bCs/>
          <w:color w:val="000000" w:themeColor="text1"/>
          <w:lang w:val="en-US"/>
        </w:rPr>
      </w:pPr>
      <w:r w:rsidRPr="00090D65">
        <w:rPr>
          <w:rFonts w:ascii="Cambria" w:eastAsiaTheme="majorEastAsia" w:hAnsi="Cambria" w:cstheme="majorBidi"/>
          <w:b/>
          <w:bCs/>
          <w:color w:val="000000" w:themeColor="text1"/>
          <w:lang w:val="en-US"/>
        </w:rPr>
        <w:t>References</w:t>
      </w:r>
    </w:p>
    <w:p w14:paraId="138E2C60" w14:textId="77777777" w:rsidR="00090D65" w:rsidRPr="00916F66" w:rsidRDefault="00090D65" w:rsidP="00973B36">
      <w:pPr>
        <w:spacing w:line="240" w:lineRule="auto"/>
        <w:rPr>
          <w:rFonts w:ascii="Cambria" w:hAnsi="Cambria" w:cs="Times New Roman"/>
          <w:b/>
          <w:sz w:val="20"/>
          <w:szCs w:val="20"/>
          <w:lang w:val="en-US"/>
        </w:rPr>
      </w:pPr>
    </w:p>
    <w:p w14:paraId="129F6F01" w14:textId="7C7862D9" w:rsidR="00090D65" w:rsidRPr="00090D65" w:rsidRDefault="00090D65" w:rsidP="00090D65">
      <w:pPr>
        <w:pStyle w:val="BalloonText"/>
        <w:jc w:val="left"/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</w:pPr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 xml:space="preserve">O’Sullivan, M., Overland, I., </w:t>
      </w:r>
      <w:proofErr w:type="spellStart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>Sandalow</w:t>
      </w:r>
      <w:proofErr w:type="spellEnd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 xml:space="preserve">, D., </w:t>
      </w:r>
      <w:proofErr w:type="spellStart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>Lemphers</w:t>
      </w:r>
      <w:proofErr w:type="spellEnd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 xml:space="preserve">, N., </w:t>
      </w:r>
      <w:proofErr w:type="spellStart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>Begg</w:t>
      </w:r>
      <w:proofErr w:type="spellEnd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 xml:space="preserve">, H., Behrens, A., </w:t>
      </w:r>
      <w:proofErr w:type="spellStart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>Bhatiya</w:t>
      </w:r>
      <w:proofErr w:type="spellEnd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 xml:space="preserve">, N., Clark, A., Cremer, T., Elkind, J., Fessler, M., Nakagawa, M., </w:t>
      </w:r>
      <w:proofErr w:type="spellStart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>Seol</w:t>
      </w:r>
      <w:proofErr w:type="spellEnd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 xml:space="preserve">, M., </w:t>
      </w:r>
      <w:proofErr w:type="spellStart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>Soylu</w:t>
      </w:r>
      <w:proofErr w:type="spellEnd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 xml:space="preserve">, C. and R. Vakulchuk (2017) </w:t>
      </w:r>
      <w:proofErr w:type="gramStart"/>
      <w:r w:rsidRPr="00090D65">
        <w:rPr>
          <w:rFonts w:asciiTheme="majorHAnsi" w:hAnsiTheme="majorHAnsi" w:cs="Times New Roman"/>
          <w:i/>
          <w:color w:val="000000" w:themeColor="text1"/>
          <w:sz w:val="18"/>
          <w:szCs w:val="18"/>
          <w:lang w:val="en-GB"/>
        </w:rPr>
        <w:t>The</w:t>
      </w:r>
      <w:proofErr w:type="gramEnd"/>
      <w:r w:rsidRPr="00090D65">
        <w:rPr>
          <w:rFonts w:asciiTheme="majorHAnsi" w:hAnsiTheme="majorHAnsi" w:cs="Times New Roman"/>
          <w:i/>
          <w:color w:val="000000" w:themeColor="text1"/>
          <w:sz w:val="18"/>
          <w:szCs w:val="18"/>
          <w:lang w:val="en-GB"/>
        </w:rPr>
        <w:t xml:space="preserve"> Geopolitics of Renewable Energy.</w:t>
      </w:r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 xml:space="preserve"> </w:t>
      </w:r>
      <w:proofErr w:type="gramStart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>Working Paper.</w:t>
      </w:r>
      <w:proofErr w:type="gramEnd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 xml:space="preserve"> </w:t>
      </w:r>
      <w:proofErr w:type="gramStart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 xml:space="preserve">Harvard University, Columbia University and </w:t>
      </w:r>
      <w:r w:rsidR="00692F9E" w:rsidRPr="00692F9E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>Norwegian Institute of International Affairs (NUPI)</w:t>
      </w:r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>.</w:t>
      </w:r>
      <w:proofErr w:type="gramEnd"/>
      <w:r w:rsidRPr="00090D65"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 xml:space="preserve"> </w:t>
      </w:r>
      <w:r w:rsidR="005503B3">
        <w:fldChar w:fldCharType="begin"/>
      </w:r>
      <w:r w:rsidR="005503B3" w:rsidRPr="005503B3">
        <w:rPr>
          <w:lang w:val="en-US"/>
        </w:rPr>
        <w:instrText xml:space="preserve"> HYPERLINK "https://www.researchgate.net/publication/317954274_The_Geopolitics_of_Renewable_Energy" </w:instrText>
      </w:r>
      <w:r w:rsidR="005503B3">
        <w:fldChar w:fldCharType="separate"/>
      </w:r>
      <w:r w:rsidRPr="00E82152">
        <w:rPr>
          <w:rStyle w:val="Hyperlink"/>
          <w:rFonts w:asciiTheme="majorHAnsi" w:hAnsiTheme="majorHAnsi" w:cs="Times New Roman"/>
          <w:sz w:val="18"/>
          <w:szCs w:val="18"/>
          <w:lang w:val="en-GB"/>
        </w:rPr>
        <w:t>https://www.researchgate.net/publication/317954274_The_Geopolitics_of_Renewable_Energy</w:t>
      </w:r>
      <w:r w:rsidR="005503B3">
        <w:rPr>
          <w:rStyle w:val="Hyperlink"/>
          <w:rFonts w:asciiTheme="majorHAnsi" w:hAnsiTheme="majorHAnsi" w:cs="Times New Roman"/>
          <w:sz w:val="18"/>
          <w:szCs w:val="18"/>
          <w:lang w:val="en-GB"/>
        </w:rPr>
        <w:fldChar w:fldCharType="end"/>
      </w:r>
      <w:r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  <w:t xml:space="preserve"> </w:t>
      </w:r>
    </w:p>
    <w:p w14:paraId="7FAFDD6D" w14:textId="77777777" w:rsidR="00090D65" w:rsidRPr="00090D65" w:rsidRDefault="00090D65" w:rsidP="00090D65">
      <w:pPr>
        <w:pStyle w:val="BalloonText"/>
        <w:jc w:val="left"/>
        <w:rPr>
          <w:rFonts w:asciiTheme="majorHAnsi" w:hAnsiTheme="majorHAnsi" w:cs="Times New Roman"/>
          <w:color w:val="000000" w:themeColor="text1"/>
          <w:sz w:val="18"/>
          <w:szCs w:val="18"/>
          <w:lang w:val="en-GB"/>
        </w:rPr>
      </w:pPr>
    </w:p>
    <w:p w14:paraId="6CD0A60E" w14:textId="7E62F964" w:rsidR="00090D65" w:rsidRPr="00090D65" w:rsidRDefault="00090D65" w:rsidP="00090D65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18"/>
          <w:szCs w:val="18"/>
          <w:lang w:val="en-US"/>
        </w:rPr>
      </w:pPr>
      <w:proofErr w:type="spellStart"/>
      <w:proofErr w:type="gramStart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>Sweijs</w:t>
      </w:r>
      <w:proofErr w:type="spellEnd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 xml:space="preserve">, T., de Ridder, M., de Jong, S., </w:t>
      </w:r>
      <w:proofErr w:type="spellStart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>Oosterveld</w:t>
      </w:r>
      <w:proofErr w:type="spellEnd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 xml:space="preserve">, W., </w:t>
      </w:r>
      <w:proofErr w:type="spellStart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>Frinking</w:t>
      </w:r>
      <w:proofErr w:type="spellEnd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 xml:space="preserve">, E., </w:t>
      </w:r>
      <w:proofErr w:type="spellStart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>Auping</w:t>
      </w:r>
      <w:proofErr w:type="spellEnd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 xml:space="preserve">, W., Coelho, R., </w:t>
      </w:r>
      <w:proofErr w:type="spellStart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>Bylappa</w:t>
      </w:r>
      <w:proofErr w:type="spellEnd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 xml:space="preserve">, J. and I. </w:t>
      </w:r>
      <w:proofErr w:type="spellStart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>Ilko</w:t>
      </w:r>
      <w:proofErr w:type="spellEnd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 xml:space="preserve"> (2014) </w:t>
      </w:r>
      <w:r w:rsidRPr="00090D65">
        <w:rPr>
          <w:rFonts w:asciiTheme="majorHAnsi" w:hAnsiTheme="majorHAnsi"/>
          <w:i/>
          <w:iCs/>
          <w:color w:val="000000" w:themeColor="text1"/>
          <w:sz w:val="18"/>
          <w:szCs w:val="18"/>
          <w:lang w:val="en-US"/>
        </w:rPr>
        <w:t>Time to Wake Up: The Geopolitics of EU 2030 Climate and Energy Policies</w:t>
      </w:r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>.</w:t>
      </w:r>
      <w:proofErr w:type="gramEnd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 xml:space="preserve"> </w:t>
      </w:r>
      <w:proofErr w:type="gramStart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>The Hague Centre for Strategic Studies (HCSS).</w:t>
      </w:r>
      <w:proofErr w:type="gramEnd"/>
      <w:r w:rsidRPr="00090D65">
        <w:rPr>
          <w:rFonts w:asciiTheme="majorHAnsi" w:hAnsiTheme="majorHAnsi"/>
          <w:color w:val="000000" w:themeColor="text1"/>
          <w:sz w:val="18"/>
          <w:szCs w:val="18"/>
          <w:lang w:val="en-US"/>
        </w:rPr>
        <w:t xml:space="preserve"> </w:t>
      </w:r>
    </w:p>
    <w:p w14:paraId="36065FC6" w14:textId="77777777" w:rsidR="00090D65" w:rsidRPr="009D4D67" w:rsidRDefault="00090D65" w:rsidP="00090D65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16"/>
          <w:szCs w:val="16"/>
          <w:lang w:val="en-US"/>
        </w:rPr>
      </w:pPr>
    </w:p>
    <w:p w14:paraId="7C27B075" w14:textId="77777777" w:rsidR="007B7952" w:rsidRDefault="007B7952">
      <w:pPr>
        <w:spacing w:line="240" w:lineRule="auto"/>
        <w:jc w:val="left"/>
        <w:rPr>
          <w:rFonts w:ascii="Cambria" w:hAnsi="Cambria" w:cs="Times New Roman"/>
          <w:b/>
          <w:sz w:val="20"/>
          <w:szCs w:val="20"/>
          <w:lang w:val="en-US"/>
        </w:rPr>
      </w:pPr>
      <w:r>
        <w:rPr>
          <w:rFonts w:ascii="Cambria" w:hAnsi="Cambria" w:cs="Times New Roman"/>
          <w:b/>
          <w:sz w:val="20"/>
          <w:szCs w:val="20"/>
          <w:lang w:val="en-US"/>
        </w:rPr>
        <w:br w:type="page"/>
      </w:r>
    </w:p>
    <w:p w14:paraId="6EBE8F55" w14:textId="258BB83D" w:rsidR="008E4944" w:rsidRPr="00E93E95" w:rsidRDefault="008E4944" w:rsidP="00973B36">
      <w:pPr>
        <w:spacing w:line="240" w:lineRule="auto"/>
        <w:rPr>
          <w:rFonts w:ascii="Cambria" w:hAnsi="Cambria" w:cs="Times New Roman"/>
          <w:b/>
          <w:sz w:val="20"/>
          <w:szCs w:val="20"/>
          <w:lang w:val="en-US"/>
        </w:rPr>
      </w:pPr>
      <w:r w:rsidRPr="00E93E95">
        <w:rPr>
          <w:rFonts w:ascii="Cambria" w:hAnsi="Cambria" w:cs="Times New Roman"/>
          <w:b/>
          <w:sz w:val="20"/>
          <w:szCs w:val="20"/>
          <w:lang w:val="en-US"/>
        </w:rPr>
        <w:lastRenderedPageBreak/>
        <w:t>About CADGAT and Central Asia Regional Data Review</w:t>
      </w:r>
    </w:p>
    <w:p w14:paraId="171984DD" w14:textId="50AB2544" w:rsidR="008E4944" w:rsidRPr="00916F66" w:rsidRDefault="008E4944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>The Norwegian Institute of International Affairs (NUPI) and the OSCE Academy established the Central Asia Data-Gathering and Analysis Team (CADGAT) in 2009. The purpose of CADGAT is to produce new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cross-regional data on Central Asia that can be </w:t>
      </w:r>
      <w:r w:rsidRPr="00F877D2">
        <w:rPr>
          <w:rFonts w:ascii="Cambria" w:hAnsi="Cambria" w:cs="Times New Roman"/>
          <w:sz w:val="20"/>
          <w:szCs w:val="20"/>
          <w:lang w:val="en-US"/>
        </w:rPr>
        <w:t>used</w:t>
      </w:r>
      <w:r w:rsidR="00916F66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="00A93E64" w:rsidRPr="00AD6CD4">
        <w:rPr>
          <w:rFonts w:ascii="Cambria" w:hAnsi="Cambria" w:cs="Times New Roman"/>
          <w:sz w:val="20"/>
          <w:szCs w:val="20"/>
          <w:lang w:val="en-US"/>
        </w:rPr>
        <w:t>free</w:t>
      </w:r>
      <w:r w:rsidR="00815248">
        <w:rPr>
          <w:rFonts w:ascii="Cambria" w:hAnsi="Cambria" w:cs="Times New Roman"/>
          <w:sz w:val="20"/>
          <w:szCs w:val="20"/>
          <w:lang w:val="en-US"/>
        </w:rPr>
        <w:t xml:space="preserve"> of charge</w:t>
      </w:r>
      <w:r w:rsidR="00A93E64" w:rsidRPr="00916F66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916F66">
        <w:rPr>
          <w:rFonts w:ascii="Cambria" w:hAnsi="Cambria" w:cs="Times New Roman"/>
          <w:sz w:val="20"/>
          <w:szCs w:val="20"/>
          <w:lang w:val="en-US"/>
        </w:rPr>
        <w:t>by researchers, journalists, NGOs, government employees</w:t>
      </w:r>
      <w:r w:rsidR="00A93E64">
        <w:rPr>
          <w:rFonts w:ascii="Cambria" w:hAnsi="Cambria" w:cs="Times New Roman"/>
          <w:sz w:val="20"/>
          <w:szCs w:val="20"/>
          <w:lang w:val="en-US"/>
        </w:rPr>
        <w:t>,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and students</w:t>
      </w:r>
      <w:r w:rsidR="00A93E64">
        <w:rPr>
          <w:rFonts w:ascii="Cambria" w:hAnsi="Cambria" w:cs="Times New Roman"/>
          <w:sz w:val="20"/>
          <w:szCs w:val="20"/>
          <w:lang w:val="en-US"/>
        </w:rPr>
        <w:t>, both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inside and outside the region. The dat</w:t>
      </w:r>
      <w:r w:rsidR="00815248">
        <w:rPr>
          <w:rFonts w:ascii="Cambria" w:hAnsi="Cambria" w:cs="Times New Roman"/>
          <w:sz w:val="20"/>
          <w:szCs w:val="20"/>
          <w:lang w:val="en-US"/>
        </w:rPr>
        <w:t>a articles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can be found at</w:t>
      </w:r>
      <w:r w:rsidRPr="00F877D2">
        <w:rPr>
          <w:rFonts w:ascii="Cambria" w:hAnsi="Cambria" w:cs="Times New Roman"/>
          <w:sz w:val="20"/>
          <w:szCs w:val="20"/>
          <w:lang w:val="en-US"/>
        </w:rPr>
        <w:t xml:space="preserve"> </w:t>
      </w:r>
      <w:hyperlink r:id="rId14" w:history="1">
        <w:r w:rsidRPr="00916F66">
          <w:rPr>
            <w:rStyle w:val="Hyperlink"/>
            <w:rFonts w:ascii="Cambria" w:hAnsi="Cambria" w:cs="Times New Roman"/>
            <w:sz w:val="20"/>
            <w:szCs w:val="20"/>
            <w:lang w:val="en-US"/>
          </w:rPr>
          <w:t>http://osce-academy.net/en/research/cadgat</w:t>
        </w:r>
        <w:r w:rsidRPr="00A93E64">
          <w:rPr>
            <w:rStyle w:val="Hyperlink"/>
            <w:rFonts w:ascii="Cambria" w:hAnsi="Cambria" w:cs="Times New Roman"/>
            <w:sz w:val="20"/>
            <w:szCs w:val="20"/>
            <w:lang w:val="en-US"/>
          </w:rPr>
          <w:t>/</w:t>
        </w:r>
      </w:hyperlink>
    </w:p>
    <w:p w14:paraId="20EB9313" w14:textId="77777777" w:rsidR="007750C9" w:rsidRPr="00F877D2" w:rsidRDefault="007750C9" w:rsidP="00973B36">
      <w:pPr>
        <w:spacing w:line="240" w:lineRule="auto"/>
        <w:rPr>
          <w:rStyle w:val="Hyperlink"/>
          <w:rFonts w:ascii="Cambria" w:hAnsi="Cambria" w:cs="Times New Roman"/>
          <w:color w:val="auto"/>
          <w:sz w:val="20"/>
          <w:szCs w:val="20"/>
          <w:lang w:val="en-US"/>
        </w:rPr>
      </w:pPr>
    </w:p>
    <w:p w14:paraId="6AD3C477" w14:textId="77777777" w:rsidR="00E15BB6" w:rsidRPr="00F877D2" w:rsidRDefault="00E15BB6" w:rsidP="00E15BB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815248">
        <w:rPr>
          <w:rFonts w:ascii="Cambria" w:hAnsi="Cambria" w:cs="Times New Roman"/>
          <w:sz w:val="20"/>
          <w:szCs w:val="20"/>
          <w:lang w:val="en-US"/>
        </w:rPr>
        <w:t xml:space="preserve">The following </w:t>
      </w:r>
      <w:r w:rsidRPr="00F877D2">
        <w:rPr>
          <w:rFonts w:ascii="Cambria" w:hAnsi="Cambria" w:cs="Times New Roman"/>
          <w:sz w:val="20"/>
          <w:szCs w:val="20"/>
          <w:lang w:val="en-US"/>
        </w:rPr>
        <w:t>CADGAT data articles have been published:</w:t>
      </w:r>
    </w:p>
    <w:p w14:paraId="59250B3B" w14:textId="77777777" w:rsidR="00E15BB6" w:rsidRPr="00F877D2" w:rsidRDefault="00E15BB6" w:rsidP="00E15BB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7D2CB5F7" w14:textId="77777777" w:rsidR="00E15BB6" w:rsidRPr="00F877D2" w:rsidRDefault="00E15BB6" w:rsidP="00E15BB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 xml:space="preserve">1. Hydroelectric dams and conflict in Central Asia </w:t>
      </w:r>
    </w:p>
    <w:p w14:paraId="374DB546" w14:textId="77777777" w:rsidR="00E15BB6" w:rsidRPr="00F877D2" w:rsidRDefault="00E15BB6" w:rsidP="00E15BB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 xml:space="preserve">2. </w:t>
      </w:r>
      <w:r>
        <w:rPr>
          <w:rFonts w:ascii="Cambria" w:hAnsi="Cambria" w:cs="Times New Roman"/>
          <w:sz w:val="20"/>
          <w:szCs w:val="20"/>
          <w:lang w:val="en-US"/>
        </w:rPr>
        <w:t>The n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arcotics trade and related issues in Central Asia </w:t>
      </w:r>
    </w:p>
    <w:p w14:paraId="3B3011AD" w14:textId="77777777" w:rsidR="00E15BB6" w:rsidRPr="00916F66" w:rsidRDefault="00E15BB6" w:rsidP="00E15BB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 xml:space="preserve">3. Language use and language policy 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in Central Asia </w:t>
      </w:r>
    </w:p>
    <w:p w14:paraId="3E22EC1F" w14:textId="77777777" w:rsidR="00E15BB6" w:rsidRPr="00916F66" w:rsidRDefault="00E15BB6" w:rsidP="00E15BB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>4. The transpor</w:t>
      </w:r>
      <w:r w:rsidRPr="00916F66">
        <w:rPr>
          <w:rFonts w:ascii="Cambria" w:hAnsi="Cambria" w:cs="Times New Roman"/>
          <w:sz w:val="20"/>
          <w:szCs w:val="20"/>
          <w:lang w:val="en-US"/>
        </w:rPr>
        <w:t>t</w:t>
      </w:r>
      <w:r>
        <w:rPr>
          <w:rFonts w:ascii="Cambria" w:hAnsi="Cambria" w:cs="Times New Roman"/>
          <w:sz w:val="20"/>
          <w:szCs w:val="20"/>
          <w:lang w:val="en-US"/>
        </w:rPr>
        <w:t>ation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sector in Central Asia </w:t>
      </w:r>
    </w:p>
    <w:p w14:paraId="5CC925AB" w14:textId="77777777" w:rsidR="00E15BB6" w:rsidRPr="00F877D2" w:rsidRDefault="00E15BB6" w:rsidP="00E15BB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 xml:space="preserve">5. Road transportation in Central Asia </w:t>
      </w:r>
    </w:p>
    <w:p w14:paraId="2BB70B1B" w14:textId="77777777" w:rsidR="00E15BB6" w:rsidRPr="00F877D2" w:rsidRDefault="00E15BB6" w:rsidP="00E15BB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 xml:space="preserve">6. Gender and politics in Central Asia </w:t>
      </w:r>
    </w:p>
    <w:p w14:paraId="2831D98F" w14:textId="77777777" w:rsidR="00E15BB6" w:rsidRPr="00F877D2" w:rsidRDefault="00E15BB6" w:rsidP="00E15BB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>7. Political relations in Central Asia</w:t>
      </w:r>
    </w:p>
    <w:p w14:paraId="1B74191F" w14:textId="77777777" w:rsidR="00E15BB6" w:rsidRPr="00F877D2" w:rsidRDefault="00E15BB6" w:rsidP="00E15BB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>8. Trade policies and major export items in Central Asia</w:t>
      </w:r>
    </w:p>
    <w:p w14:paraId="4FF46964" w14:textId="77777777" w:rsidR="00E15BB6" w:rsidRPr="00F877D2" w:rsidRDefault="00E15BB6" w:rsidP="00E15BB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 xml:space="preserve">9. Intra-regional trade in Central Asia </w:t>
      </w:r>
    </w:p>
    <w:p w14:paraId="6E7C04D5" w14:textId="77777777" w:rsidR="00E15BB6" w:rsidRPr="00F877D2" w:rsidRDefault="00E15BB6" w:rsidP="00E15BB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>10. Trade barriers and tariffs in Central Asia</w:t>
      </w:r>
    </w:p>
    <w:p w14:paraId="26D2419D" w14:textId="77777777" w:rsidR="00E15BB6" w:rsidRPr="00F877D2" w:rsidRDefault="00E15BB6" w:rsidP="00E15BB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 xml:space="preserve">11. </w:t>
      </w:r>
      <w:r w:rsidRPr="00F877D2">
        <w:rPr>
          <w:rFonts w:ascii="Cambria" w:hAnsi="Cambria" w:cs="Times New Roman"/>
          <w:bCs/>
          <w:sz w:val="20"/>
          <w:szCs w:val="20"/>
          <w:lang w:val="en-US"/>
        </w:rPr>
        <w:t xml:space="preserve">Holidays in Central Asia. Part I: Laws and official holidays </w:t>
      </w:r>
    </w:p>
    <w:p w14:paraId="6B2BDC9B" w14:textId="77777777" w:rsidR="00E15BB6" w:rsidRPr="00F877D2" w:rsidRDefault="00E15BB6" w:rsidP="00E15BB6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 w:rsidRPr="00F877D2">
        <w:rPr>
          <w:rFonts w:ascii="Cambria" w:hAnsi="Cambria" w:cs="Times New Roman"/>
          <w:bCs/>
          <w:sz w:val="20"/>
          <w:szCs w:val="20"/>
          <w:lang w:val="en-US"/>
        </w:rPr>
        <w:t xml:space="preserve">12. Holidays in Central Asia. Part II: Professional and working holidays </w:t>
      </w:r>
    </w:p>
    <w:p w14:paraId="0CBB0579" w14:textId="77777777" w:rsidR="00E15BB6" w:rsidRPr="00F877D2" w:rsidRDefault="00E15BB6" w:rsidP="00E15BB6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 w:rsidRPr="00F877D2">
        <w:rPr>
          <w:rFonts w:ascii="Cambria" w:hAnsi="Cambria" w:cs="Times New Roman"/>
          <w:bCs/>
          <w:sz w:val="20"/>
          <w:szCs w:val="20"/>
          <w:lang w:val="en-US"/>
        </w:rPr>
        <w:t xml:space="preserve">13. Media in Central Asia: Print Media </w:t>
      </w:r>
    </w:p>
    <w:p w14:paraId="7DCD9A71" w14:textId="77777777" w:rsidR="00E15BB6" w:rsidRPr="00F877D2" w:rsidRDefault="00E15BB6" w:rsidP="00E15BB6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 w:rsidRPr="00F877D2">
        <w:rPr>
          <w:rFonts w:ascii="Cambria" w:hAnsi="Cambria" w:cs="Times New Roman"/>
          <w:bCs/>
          <w:sz w:val="20"/>
          <w:szCs w:val="20"/>
          <w:lang w:val="en-US"/>
        </w:rPr>
        <w:t>14. Media in Central Asia: TV</w:t>
      </w:r>
    </w:p>
    <w:p w14:paraId="53AAD6B0" w14:textId="77777777" w:rsidR="00E15BB6" w:rsidRPr="00916F66" w:rsidRDefault="00E15BB6" w:rsidP="00E15BB6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 w:rsidRPr="00F877D2">
        <w:rPr>
          <w:rFonts w:ascii="Cambria" w:hAnsi="Cambria" w:cs="Times New Roman"/>
          <w:bCs/>
          <w:sz w:val="20"/>
          <w:szCs w:val="20"/>
          <w:lang w:val="en-US"/>
        </w:rPr>
        <w:t xml:space="preserve">15. </w:t>
      </w:r>
      <w:r>
        <w:rPr>
          <w:rFonts w:ascii="Cambria" w:hAnsi="Cambria" w:cs="Times New Roman"/>
          <w:bCs/>
          <w:sz w:val="20"/>
          <w:szCs w:val="20"/>
          <w:lang w:val="en-US"/>
        </w:rPr>
        <w:t xml:space="preserve">Media in Central Asia: </w:t>
      </w:r>
      <w:r w:rsidRPr="00F877D2">
        <w:rPr>
          <w:rFonts w:ascii="Cambria" w:hAnsi="Cambria" w:cs="Times New Roman"/>
          <w:bCs/>
          <w:sz w:val="20"/>
          <w:szCs w:val="20"/>
          <w:lang w:val="en-US"/>
        </w:rPr>
        <w:t>Radio</w:t>
      </w:r>
    </w:p>
    <w:p w14:paraId="5BFAFEAB" w14:textId="77777777" w:rsidR="00E15BB6" w:rsidRDefault="00E15BB6" w:rsidP="00E15BB6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 w:rsidRPr="00E46925">
        <w:rPr>
          <w:rFonts w:ascii="Cambria" w:hAnsi="Cambria" w:cs="Times New Roman"/>
          <w:bCs/>
          <w:sz w:val="20"/>
          <w:szCs w:val="20"/>
          <w:lang w:val="en-US"/>
        </w:rPr>
        <w:t>16. Renewable energy policies of the Central Asian countries</w:t>
      </w:r>
    </w:p>
    <w:p w14:paraId="2C958222" w14:textId="77777777" w:rsidR="00E46925" w:rsidRPr="00F877D2" w:rsidRDefault="00E46925" w:rsidP="00973B36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</w:p>
    <w:p w14:paraId="599E5E15" w14:textId="77777777" w:rsidR="008E4944" w:rsidRPr="00F877D2" w:rsidRDefault="008E4944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2B8C2A44" w14:textId="29FDD18C" w:rsidR="008E4944" w:rsidRPr="00916F66" w:rsidRDefault="008E4944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 xml:space="preserve">CADGAT has also produced a database 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on </w:t>
      </w:r>
      <w:r w:rsidRPr="00F877D2">
        <w:rPr>
          <w:rFonts w:ascii="Cambria" w:hAnsi="Cambria" w:cs="Times New Roman"/>
          <w:sz w:val="20"/>
          <w:szCs w:val="20"/>
          <w:lang w:val="en-US"/>
        </w:rPr>
        <w:t xml:space="preserve">Elites in Central Asia, which can be found at </w:t>
      </w:r>
      <w:hyperlink r:id="rId15" w:history="1">
        <w:r w:rsidRPr="00916F66">
          <w:rPr>
            <w:rStyle w:val="Hyperlink"/>
            <w:rFonts w:ascii="Cambria" w:hAnsi="Cambria" w:cs="Times New Roman"/>
            <w:sz w:val="20"/>
            <w:szCs w:val="20"/>
            <w:lang w:val="en-US"/>
          </w:rPr>
          <w:t>http://osce-academy.net/_dbelite</w:t>
        </w:r>
        <w:r w:rsidRPr="00CB08F4">
          <w:rPr>
            <w:rStyle w:val="Hyperlink"/>
            <w:rFonts w:ascii="Cambria" w:hAnsi="Cambria" w:cs="Times New Roman"/>
            <w:sz w:val="20"/>
            <w:szCs w:val="20"/>
            <w:lang w:val="en-US"/>
          </w:rPr>
          <w:t>/</w:t>
        </w:r>
      </w:hyperlink>
    </w:p>
    <w:p w14:paraId="5BE15674" w14:textId="10E6446A" w:rsidR="008E4944" w:rsidRDefault="008E4944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6CDB53DF" w14:textId="352D8926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2EF34974" w14:textId="4655A807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5F1BF9EB" w14:textId="4F4FA35B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3D3AC4FB" w14:textId="12A3B2BE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2D0CE988" w14:textId="6367DD52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22A2879B" w14:textId="5038FF9A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35B29CEC" w14:textId="203AEBBE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0F72A1FB" w14:textId="3BBCD860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56C5AB92" w14:textId="7853F1ED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2FEA2700" w14:textId="44E6F268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6AEE5D97" w14:textId="55895394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105839FF" w14:textId="23B5AE53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0BED72F5" w14:textId="2F5FDB73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0B729855" w14:textId="464AA848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0CDE4D2E" w14:textId="4743869F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04906259" w14:textId="3219A8FB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73D5C4A2" w14:textId="77777777" w:rsidR="00163A9C" w:rsidRDefault="00163A9C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05CCA15A" w14:textId="1818E738" w:rsidR="003759E2" w:rsidRPr="00B41BE1" w:rsidRDefault="003759E2" w:rsidP="00803508">
      <w:pPr>
        <w:spacing w:line="240" w:lineRule="auto"/>
        <w:ind w:left="2124"/>
        <w:rPr>
          <w:rFonts w:ascii="Cambria" w:hAnsi="Cambria"/>
          <w:sz w:val="20"/>
          <w:lang w:val="en-US"/>
        </w:rPr>
      </w:pPr>
      <w:r w:rsidRPr="00EC3400">
        <w:rPr>
          <w:rFonts w:eastAsia="SimSun"/>
          <w:bCs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538DE95B" wp14:editId="16511CBD">
            <wp:simplePos x="0" y="0"/>
            <wp:positionH relativeFrom="column">
              <wp:posOffset>2540</wp:posOffset>
            </wp:positionH>
            <wp:positionV relativeFrom="paragraph">
              <wp:posOffset>41910</wp:posOffset>
            </wp:positionV>
            <wp:extent cx="1602105" cy="572770"/>
            <wp:effectExtent l="0" t="0" r="0" b="0"/>
            <wp:wrapTight wrapText="bothSides">
              <wp:wrapPolygon edited="0">
                <wp:start x="0" y="0"/>
                <wp:lineTo x="0" y="21073"/>
                <wp:lineTo x="21403" y="21073"/>
                <wp:lineTo x="21403" y="0"/>
                <wp:lineTo x="0" y="0"/>
              </wp:wrapPolygon>
            </wp:wrapTight>
            <wp:docPr id="2" name="Picture 2" descr="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Righ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41BE1">
        <w:rPr>
          <w:rFonts w:eastAsia="SimSun"/>
          <w:bCs/>
          <w:lang w:val="en-US"/>
        </w:rPr>
        <w:t xml:space="preserve">© </w:t>
      </w:r>
      <w:r w:rsidR="00163A9C" w:rsidRPr="008B28DD">
        <w:rPr>
          <w:rFonts w:eastAsia="SimSun"/>
          <w:bCs/>
          <w:lang w:val="en-US"/>
        </w:rPr>
        <w:t>201</w:t>
      </w:r>
      <w:r w:rsidR="00163A9C">
        <w:rPr>
          <w:rFonts w:eastAsia="SimSun"/>
          <w:bCs/>
          <w:lang w:val="en-US"/>
        </w:rPr>
        <w:t>9</w:t>
      </w:r>
      <w:r w:rsidR="00163A9C" w:rsidRPr="008B28DD">
        <w:rPr>
          <w:rFonts w:eastAsia="SimSun"/>
          <w:bCs/>
          <w:lang w:val="en-US"/>
        </w:rPr>
        <w:t xml:space="preserve"> by the </w:t>
      </w:r>
      <w:r w:rsidR="00163A9C">
        <w:rPr>
          <w:rFonts w:eastAsia="SimSun"/>
          <w:bCs/>
          <w:lang w:val="en-US"/>
        </w:rPr>
        <w:t>authors</w:t>
      </w:r>
      <w:r w:rsidR="00163A9C" w:rsidRPr="008B28DD">
        <w:rPr>
          <w:rFonts w:eastAsia="SimSun"/>
          <w:bCs/>
          <w:lang w:val="en-US"/>
        </w:rPr>
        <w:t>.</w:t>
      </w:r>
      <w:proofErr w:type="gramEnd"/>
      <w:r w:rsidR="00163A9C" w:rsidRPr="008B28DD">
        <w:rPr>
          <w:rFonts w:eastAsia="SimSun"/>
          <w:bCs/>
          <w:lang w:val="en-US"/>
        </w:rPr>
        <w:t xml:space="preserve"> This is an open access publication under the terms and conditions of the Creative Commons Attribution (CC BY) license (</w:t>
      </w:r>
      <w:hyperlink r:id="rId17" w:history="1">
        <w:r w:rsidR="00163A9C" w:rsidRPr="008B28DD">
          <w:rPr>
            <w:rStyle w:val="Hyperlink"/>
            <w:rFonts w:eastAsia="SimSun"/>
            <w:bCs/>
            <w:lang w:val="en-US"/>
          </w:rPr>
          <w:t>http://creativecommons.org/licenses/by/4.0/</w:t>
        </w:r>
      </w:hyperlink>
      <w:r w:rsidR="00163A9C" w:rsidRPr="008B28DD">
        <w:rPr>
          <w:rFonts w:eastAsia="SimSun"/>
          <w:bCs/>
          <w:lang w:val="en-US"/>
        </w:rPr>
        <w:t>). The material can be used freely, as long as a reference to this article is included.</w:t>
      </w:r>
      <w:r w:rsidRPr="00B41BE1">
        <w:rPr>
          <w:rFonts w:eastAsia="SimSun"/>
          <w:bCs/>
          <w:lang w:val="en-US"/>
        </w:rPr>
        <w:t xml:space="preserve"> </w:t>
      </w:r>
    </w:p>
    <w:p w14:paraId="22841F02" w14:textId="77777777" w:rsidR="003759E2" w:rsidRPr="00F877D2" w:rsidRDefault="003759E2" w:rsidP="00973B36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sectPr w:rsidR="003759E2" w:rsidRPr="00F877D2" w:rsidSect="000A28C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C3BE" w14:textId="77777777" w:rsidR="000D4625" w:rsidRDefault="000D4625" w:rsidP="006A525D">
      <w:pPr>
        <w:spacing w:line="240" w:lineRule="auto"/>
      </w:pPr>
      <w:r>
        <w:separator/>
      </w:r>
    </w:p>
  </w:endnote>
  <w:endnote w:type="continuationSeparator" w:id="0">
    <w:p w14:paraId="2F145462" w14:textId="77777777" w:rsidR="000D4625" w:rsidRDefault="000D4625" w:rsidP="006A5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ia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385293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F752F2" w14:textId="574E53B8" w:rsidR="00FD52CA" w:rsidRDefault="00FD52CA" w:rsidP="00C430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2455AA" w14:textId="77777777" w:rsidR="00FD52CA" w:rsidRDefault="00FD52CA" w:rsidP="00F461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459879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BF46D0" w14:textId="66BB01D5" w:rsidR="00FD52CA" w:rsidRDefault="00FD52CA" w:rsidP="00C430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03B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0479BE" w14:textId="77777777" w:rsidR="00FD52CA" w:rsidRDefault="00FD52CA" w:rsidP="00F461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081E8" w14:textId="77777777" w:rsidR="000D4625" w:rsidRDefault="000D4625" w:rsidP="006A525D">
      <w:pPr>
        <w:spacing w:line="240" w:lineRule="auto"/>
      </w:pPr>
      <w:r>
        <w:separator/>
      </w:r>
    </w:p>
  </w:footnote>
  <w:footnote w:type="continuationSeparator" w:id="0">
    <w:p w14:paraId="290FF649" w14:textId="77777777" w:rsidR="000D4625" w:rsidRDefault="000D4625" w:rsidP="006A525D">
      <w:pPr>
        <w:spacing w:line="240" w:lineRule="auto"/>
      </w:pPr>
      <w:r>
        <w:continuationSeparator/>
      </w:r>
    </w:p>
  </w:footnote>
  <w:footnote w:id="1">
    <w:p w14:paraId="02A46806" w14:textId="74232E1B" w:rsidR="00B41BE1" w:rsidRPr="009D4D67" w:rsidRDefault="00B41BE1" w:rsidP="00287084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16"/>
          <w:szCs w:val="16"/>
          <w:lang w:val="en-US"/>
        </w:rPr>
      </w:pPr>
      <w:r w:rsidRPr="009D4D67">
        <w:rPr>
          <w:rStyle w:val="FootnoteReference"/>
          <w:rFonts w:asciiTheme="majorHAnsi" w:hAnsiTheme="majorHAnsi"/>
          <w:color w:val="000000" w:themeColor="text1"/>
          <w:sz w:val="16"/>
          <w:szCs w:val="16"/>
        </w:rPr>
        <w:footnoteRef/>
      </w:r>
      <w:r w:rsidRPr="009D4D67">
        <w:rPr>
          <w:rFonts w:asciiTheme="majorHAnsi" w:hAnsiTheme="majorHAnsi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9D4D67">
        <w:rPr>
          <w:rFonts w:asciiTheme="majorHAnsi" w:hAnsiTheme="majorHAnsi"/>
          <w:color w:val="000000" w:themeColor="text1"/>
          <w:sz w:val="16"/>
          <w:szCs w:val="16"/>
          <w:lang w:val="en-US"/>
        </w:rPr>
        <w:t>Sweijs</w:t>
      </w:r>
      <w:proofErr w:type="spellEnd"/>
      <w:r w:rsidR="00090D65">
        <w:rPr>
          <w:rFonts w:asciiTheme="majorHAnsi" w:hAnsiTheme="majorHAnsi"/>
          <w:color w:val="000000" w:themeColor="text1"/>
          <w:sz w:val="16"/>
          <w:szCs w:val="16"/>
          <w:lang w:val="en-US"/>
        </w:rPr>
        <w:t xml:space="preserve"> et al.</w:t>
      </w:r>
      <w:r w:rsidRPr="009D4D67">
        <w:rPr>
          <w:rFonts w:asciiTheme="majorHAnsi" w:hAnsiTheme="majorHAnsi"/>
          <w:color w:val="000000" w:themeColor="text1"/>
          <w:sz w:val="16"/>
          <w:szCs w:val="16"/>
          <w:lang w:val="en-US"/>
        </w:rPr>
        <w:t xml:space="preserve"> (2014) </w:t>
      </w:r>
      <w:r w:rsidRPr="009D4D67">
        <w:rPr>
          <w:rFonts w:asciiTheme="majorHAnsi" w:hAnsiTheme="majorHAnsi"/>
          <w:i/>
          <w:iCs/>
          <w:color w:val="000000" w:themeColor="text1"/>
          <w:sz w:val="16"/>
          <w:szCs w:val="16"/>
          <w:lang w:val="en-US"/>
        </w:rPr>
        <w:t>Time to Wake Up: The Geopoli</w:t>
      </w:r>
      <w:r w:rsidR="00287084" w:rsidRPr="009D4D67">
        <w:rPr>
          <w:rFonts w:asciiTheme="majorHAnsi" w:hAnsiTheme="majorHAnsi"/>
          <w:i/>
          <w:iCs/>
          <w:color w:val="000000" w:themeColor="text1"/>
          <w:sz w:val="16"/>
          <w:szCs w:val="16"/>
          <w:lang w:val="en-US"/>
        </w:rPr>
        <w:t>ti</w:t>
      </w:r>
      <w:r w:rsidRPr="009D4D67">
        <w:rPr>
          <w:rFonts w:asciiTheme="majorHAnsi" w:hAnsiTheme="majorHAnsi"/>
          <w:i/>
          <w:iCs/>
          <w:color w:val="000000" w:themeColor="text1"/>
          <w:sz w:val="16"/>
          <w:szCs w:val="16"/>
          <w:lang w:val="en-US"/>
        </w:rPr>
        <w:t>cs of EU 2030 Climate and Energy Policies</w:t>
      </w:r>
      <w:r w:rsidRPr="009D4D67">
        <w:rPr>
          <w:rFonts w:asciiTheme="majorHAnsi" w:hAnsiTheme="majorHAnsi"/>
          <w:color w:val="000000" w:themeColor="text1"/>
          <w:sz w:val="16"/>
          <w:szCs w:val="16"/>
          <w:lang w:val="en-US"/>
        </w:rPr>
        <w:t xml:space="preserve">. </w:t>
      </w:r>
      <w:proofErr w:type="gramStart"/>
      <w:r w:rsidRPr="009D4D67">
        <w:rPr>
          <w:rFonts w:asciiTheme="majorHAnsi" w:hAnsiTheme="majorHAnsi"/>
          <w:color w:val="000000" w:themeColor="text1"/>
          <w:sz w:val="16"/>
          <w:szCs w:val="16"/>
          <w:lang w:val="en-US"/>
        </w:rPr>
        <w:t>The Hague Centre for Strategic Studies (HCSS).</w:t>
      </w:r>
      <w:proofErr w:type="gramEnd"/>
      <w:r w:rsidRPr="009D4D67">
        <w:rPr>
          <w:rFonts w:asciiTheme="majorHAnsi" w:hAnsiTheme="majorHAnsi"/>
          <w:color w:val="000000" w:themeColor="text1"/>
          <w:sz w:val="16"/>
          <w:szCs w:val="16"/>
          <w:lang w:val="en-US"/>
        </w:rPr>
        <w:t xml:space="preserve"> </w:t>
      </w:r>
    </w:p>
  </w:footnote>
  <w:footnote w:id="2">
    <w:p w14:paraId="0761D13E" w14:textId="6A742331" w:rsidR="00287084" w:rsidRPr="009D4D67" w:rsidRDefault="00B41BE1" w:rsidP="00EC5F0A">
      <w:pPr>
        <w:pStyle w:val="BalloonText"/>
        <w:jc w:val="left"/>
        <w:rPr>
          <w:rFonts w:asciiTheme="majorHAnsi" w:hAnsiTheme="majorHAnsi" w:cs="Times New Roman"/>
          <w:color w:val="000000" w:themeColor="text1"/>
          <w:sz w:val="16"/>
          <w:lang w:val="en-GB"/>
        </w:rPr>
      </w:pPr>
      <w:r w:rsidRPr="009D4D67">
        <w:rPr>
          <w:rStyle w:val="FootnoteReference"/>
          <w:rFonts w:asciiTheme="majorHAnsi" w:hAnsiTheme="majorHAnsi"/>
          <w:color w:val="000000" w:themeColor="text1"/>
          <w:sz w:val="16"/>
        </w:rPr>
        <w:footnoteRef/>
      </w:r>
      <w:r w:rsidRPr="009D4D67">
        <w:rPr>
          <w:rFonts w:asciiTheme="majorHAnsi" w:hAnsiTheme="majorHAnsi"/>
          <w:color w:val="000000" w:themeColor="text1"/>
          <w:sz w:val="16"/>
          <w:lang w:val="en-US"/>
        </w:rPr>
        <w:t xml:space="preserve"> </w:t>
      </w:r>
      <w:r w:rsidR="00287084" w:rsidRPr="009D4D67">
        <w:rPr>
          <w:rFonts w:asciiTheme="majorHAnsi" w:hAnsiTheme="majorHAnsi" w:cs="Times New Roman"/>
          <w:color w:val="000000" w:themeColor="text1"/>
          <w:sz w:val="16"/>
          <w:lang w:val="en-GB"/>
        </w:rPr>
        <w:t>O’Sullivan</w:t>
      </w:r>
      <w:r w:rsidR="00090D65">
        <w:rPr>
          <w:rFonts w:asciiTheme="majorHAnsi" w:hAnsiTheme="majorHAnsi" w:cs="Times New Roman"/>
          <w:color w:val="000000" w:themeColor="text1"/>
          <w:sz w:val="16"/>
          <w:lang w:val="en-GB"/>
        </w:rPr>
        <w:t xml:space="preserve"> et al. </w:t>
      </w:r>
      <w:r w:rsidR="00287084" w:rsidRPr="009D4D67">
        <w:rPr>
          <w:rFonts w:asciiTheme="majorHAnsi" w:hAnsiTheme="majorHAnsi" w:cs="Times New Roman"/>
          <w:color w:val="000000" w:themeColor="text1"/>
          <w:sz w:val="16"/>
          <w:lang w:val="en-GB"/>
        </w:rPr>
        <w:t xml:space="preserve">(2017) </w:t>
      </w:r>
      <w:proofErr w:type="gramStart"/>
      <w:r w:rsidR="00287084" w:rsidRPr="009D4D67">
        <w:rPr>
          <w:rFonts w:asciiTheme="majorHAnsi" w:hAnsiTheme="majorHAnsi" w:cs="Times New Roman"/>
          <w:i/>
          <w:color w:val="000000" w:themeColor="text1"/>
          <w:sz w:val="16"/>
          <w:lang w:val="en-GB"/>
        </w:rPr>
        <w:t>The</w:t>
      </w:r>
      <w:proofErr w:type="gramEnd"/>
      <w:r w:rsidR="00287084" w:rsidRPr="009D4D67">
        <w:rPr>
          <w:rFonts w:asciiTheme="majorHAnsi" w:hAnsiTheme="majorHAnsi" w:cs="Times New Roman"/>
          <w:i/>
          <w:color w:val="000000" w:themeColor="text1"/>
          <w:sz w:val="16"/>
          <w:lang w:val="en-GB"/>
        </w:rPr>
        <w:t xml:space="preserve"> Geopolitics of Renewable Energy.</w:t>
      </w:r>
      <w:r w:rsidR="00287084" w:rsidRPr="009D4D67">
        <w:rPr>
          <w:rFonts w:asciiTheme="majorHAnsi" w:hAnsiTheme="majorHAnsi" w:cs="Times New Roman"/>
          <w:color w:val="000000" w:themeColor="text1"/>
          <w:sz w:val="16"/>
          <w:lang w:val="en-GB"/>
        </w:rPr>
        <w:t xml:space="preserve"> </w:t>
      </w:r>
      <w:proofErr w:type="gramStart"/>
      <w:r w:rsidR="00287084" w:rsidRPr="009D4D67">
        <w:rPr>
          <w:rFonts w:asciiTheme="majorHAnsi" w:hAnsiTheme="majorHAnsi" w:cs="Times New Roman"/>
          <w:color w:val="000000" w:themeColor="text1"/>
          <w:sz w:val="16"/>
          <w:lang w:val="en-GB"/>
        </w:rPr>
        <w:t>Working Paper.</w:t>
      </w:r>
      <w:proofErr w:type="gramEnd"/>
      <w:r w:rsidR="00287084" w:rsidRPr="009D4D67">
        <w:rPr>
          <w:rFonts w:asciiTheme="majorHAnsi" w:hAnsiTheme="majorHAnsi" w:cs="Times New Roman"/>
          <w:color w:val="000000" w:themeColor="text1"/>
          <w:sz w:val="16"/>
          <w:lang w:val="en-GB"/>
        </w:rPr>
        <w:t xml:space="preserve"> </w:t>
      </w:r>
      <w:proofErr w:type="gramStart"/>
      <w:r w:rsidR="00287084" w:rsidRPr="009D4D67">
        <w:rPr>
          <w:rFonts w:asciiTheme="majorHAnsi" w:hAnsiTheme="majorHAnsi" w:cs="Times New Roman"/>
          <w:color w:val="000000" w:themeColor="text1"/>
          <w:sz w:val="16"/>
          <w:lang w:val="en-GB"/>
        </w:rPr>
        <w:t xml:space="preserve">Harvard University, Columbia University and </w:t>
      </w:r>
      <w:r w:rsidR="00EC5F0A">
        <w:rPr>
          <w:rFonts w:asciiTheme="majorHAnsi" w:hAnsiTheme="majorHAnsi" w:cs="Times New Roman"/>
          <w:color w:val="000000" w:themeColor="text1"/>
          <w:sz w:val="16"/>
          <w:lang w:val="en-GB"/>
        </w:rPr>
        <w:t>N</w:t>
      </w:r>
      <w:r w:rsidR="00692F9E">
        <w:rPr>
          <w:rFonts w:asciiTheme="majorHAnsi" w:hAnsiTheme="majorHAnsi" w:cs="Times New Roman"/>
          <w:color w:val="000000" w:themeColor="text1"/>
          <w:sz w:val="16"/>
          <w:lang w:val="en-GB"/>
        </w:rPr>
        <w:t>orwegian Institute of International Affairs (N</w:t>
      </w:r>
      <w:r w:rsidR="00EC5F0A">
        <w:rPr>
          <w:rFonts w:asciiTheme="majorHAnsi" w:hAnsiTheme="majorHAnsi" w:cs="Times New Roman"/>
          <w:color w:val="000000" w:themeColor="text1"/>
          <w:sz w:val="16"/>
          <w:lang w:val="en-GB"/>
        </w:rPr>
        <w:t>UPI</w:t>
      </w:r>
      <w:r w:rsidR="00692F9E">
        <w:rPr>
          <w:rFonts w:asciiTheme="majorHAnsi" w:hAnsiTheme="majorHAnsi" w:cs="Times New Roman"/>
          <w:color w:val="000000" w:themeColor="text1"/>
          <w:sz w:val="16"/>
          <w:lang w:val="en-GB"/>
        </w:rPr>
        <w:t>)</w:t>
      </w:r>
      <w:r w:rsidR="00287084" w:rsidRPr="009D4D67">
        <w:rPr>
          <w:rFonts w:asciiTheme="majorHAnsi" w:hAnsiTheme="majorHAnsi" w:cs="Times New Roman"/>
          <w:color w:val="000000" w:themeColor="text1"/>
          <w:sz w:val="16"/>
          <w:lang w:val="en-GB"/>
        </w:rPr>
        <w:t>.</w:t>
      </w:r>
      <w:proofErr w:type="gramEnd"/>
      <w:r w:rsidR="00287084" w:rsidRPr="009D4D67">
        <w:rPr>
          <w:rFonts w:asciiTheme="majorHAnsi" w:hAnsiTheme="majorHAnsi" w:cs="Times New Roman"/>
          <w:color w:val="000000" w:themeColor="text1"/>
          <w:sz w:val="16"/>
          <w:lang w:val="en-GB"/>
        </w:rPr>
        <w:t xml:space="preserve"> </w:t>
      </w:r>
      <w:r w:rsidR="005503B3">
        <w:fldChar w:fldCharType="begin"/>
      </w:r>
      <w:r w:rsidR="005503B3" w:rsidRPr="005503B3">
        <w:rPr>
          <w:lang w:val="en-US"/>
        </w:rPr>
        <w:instrText xml:space="preserve"> HYPERLINK "https://www.researchgate.net/publication/317954274_The_Geopolitics_of_Renewable_Energy" </w:instrText>
      </w:r>
      <w:r w:rsidR="005503B3">
        <w:fldChar w:fldCharType="separate"/>
      </w:r>
      <w:r w:rsidR="00090D65" w:rsidRPr="00E82152">
        <w:rPr>
          <w:rStyle w:val="Hyperlink"/>
          <w:rFonts w:asciiTheme="majorHAnsi" w:hAnsiTheme="majorHAnsi" w:cs="Times New Roman"/>
          <w:sz w:val="16"/>
          <w:lang w:val="en-GB"/>
        </w:rPr>
        <w:t>https://www.researchgate.net/publication/317954274_The_Geopolitics_of_Renewable_Energy</w:t>
      </w:r>
      <w:r w:rsidR="005503B3">
        <w:rPr>
          <w:rStyle w:val="Hyperlink"/>
          <w:rFonts w:asciiTheme="majorHAnsi" w:hAnsiTheme="majorHAnsi" w:cs="Times New Roman"/>
          <w:sz w:val="16"/>
          <w:lang w:val="en-GB"/>
        </w:rPr>
        <w:fldChar w:fldCharType="end"/>
      </w:r>
      <w:r w:rsidR="00090D65">
        <w:rPr>
          <w:rFonts w:asciiTheme="majorHAnsi" w:hAnsiTheme="majorHAnsi" w:cs="Times New Roman"/>
          <w:color w:val="000000" w:themeColor="text1"/>
          <w:sz w:val="16"/>
          <w:lang w:val="en-GB"/>
        </w:rPr>
        <w:t xml:space="preserve"> </w:t>
      </w:r>
    </w:p>
    <w:p w14:paraId="0276EFAD" w14:textId="40B0A01B" w:rsidR="00B41BE1" w:rsidRPr="00287084" w:rsidRDefault="00B41BE1">
      <w:pPr>
        <w:pStyle w:val="FootnoteText"/>
        <w:rPr>
          <w:sz w:val="18"/>
          <w:szCs w:val="18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AC218" w14:textId="51CC5070" w:rsidR="00022D41" w:rsidRPr="002F3094" w:rsidRDefault="00022D41" w:rsidP="00852790">
    <w:pPr>
      <w:spacing w:line="240" w:lineRule="auto"/>
      <w:jc w:val="center"/>
      <w:rPr>
        <w:rFonts w:ascii="Cambria" w:hAnsi="Cambria" w:cs="Times New Roman"/>
        <w:color w:val="000000" w:themeColor="text1"/>
        <w:sz w:val="18"/>
        <w:szCs w:val="18"/>
        <w:lang w:val="en-US"/>
      </w:rPr>
    </w:pPr>
    <w:r w:rsidRPr="002F3094">
      <w:rPr>
        <w:rFonts w:ascii="Cambria" w:hAnsi="Cambria" w:cs="Times New Roman"/>
        <w:color w:val="000000" w:themeColor="text1"/>
        <w:sz w:val="18"/>
        <w:szCs w:val="18"/>
        <w:lang w:val="en-US"/>
      </w:rPr>
      <w:t>Central Asia Regional Data Review 16 (2019) 1–</w:t>
    </w:r>
    <w:r w:rsidR="00287084">
      <w:rPr>
        <w:rFonts w:ascii="Cambria" w:hAnsi="Cambria" w:cs="Times New Roman"/>
        <w:color w:val="000000" w:themeColor="text1"/>
        <w:sz w:val="18"/>
        <w:szCs w:val="18"/>
        <w:lang w:val="en-US"/>
      </w:rPr>
      <w:t>4</w:t>
    </w:r>
    <w:r w:rsidR="00F34658">
      <w:rPr>
        <w:rFonts w:ascii="Cambria" w:hAnsi="Cambria" w:cs="Times New Roman"/>
        <w:color w:val="000000" w:themeColor="text1"/>
        <w:sz w:val="18"/>
        <w:szCs w:val="18"/>
        <w:lang w:val="en-US"/>
      </w:rPr>
      <w:t>.</w:t>
    </w:r>
  </w:p>
  <w:p w14:paraId="01203724" w14:textId="77777777" w:rsidR="002F3094" w:rsidRPr="00B41BE1" w:rsidRDefault="002F309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1F21"/>
    <w:multiLevelType w:val="hybridMultilevel"/>
    <w:tmpl w:val="D75809F6"/>
    <w:lvl w:ilvl="0" w:tplc="7F5EC10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6405E"/>
    <w:multiLevelType w:val="hybridMultilevel"/>
    <w:tmpl w:val="71E2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5665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B12DF5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C20D92"/>
    <w:multiLevelType w:val="hybridMultilevel"/>
    <w:tmpl w:val="A3EAE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423A9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533578"/>
    <w:multiLevelType w:val="hybridMultilevel"/>
    <w:tmpl w:val="DBA28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B47A0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5D"/>
    <w:rsid w:val="0000268C"/>
    <w:rsid w:val="00006770"/>
    <w:rsid w:val="00011980"/>
    <w:rsid w:val="00022D41"/>
    <w:rsid w:val="000405F9"/>
    <w:rsid w:val="00044E7F"/>
    <w:rsid w:val="00060C47"/>
    <w:rsid w:val="00067CDB"/>
    <w:rsid w:val="00067F40"/>
    <w:rsid w:val="00070299"/>
    <w:rsid w:val="000864A0"/>
    <w:rsid w:val="00090D65"/>
    <w:rsid w:val="00095599"/>
    <w:rsid w:val="000A11F4"/>
    <w:rsid w:val="000A1E8E"/>
    <w:rsid w:val="000A28C7"/>
    <w:rsid w:val="000D4625"/>
    <w:rsid w:val="000D69FB"/>
    <w:rsid w:val="000D6D0B"/>
    <w:rsid w:val="000F7B39"/>
    <w:rsid w:val="00107B13"/>
    <w:rsid w:val="00131E64"/>
    <w:rsid w:val="00132E18"/>
    <w:rsid w:val="00133841"/>
    <w:rsid w:val="00135FEF"/>
    <w:rsid w:val="00143D6F"/>
    <w:rsid w:val="00154145"/>
    <w:rsid w:val="00154C6D"/>
    <w:rsid w:val="00163A9C"/>
    <w:rsid w:val="001A2B41"/>
    <w:rsid w:val="001A3668"/>
    <w:rsid w:val="001D1CCD"/>
    <w:rsid w:val="001E2862"/>
    <w:rsid w:val="001E3372"/>
    <w:rsid w:val="001F68BA"/>
    <w:rsid w:val="00202959"/>
    <w:rsid w:val="0020407C"/>
    <w:rsid w:val="00213ACD"/>
    <w:rsid w:val="00233CE2"/>
    <w:rsid w:val="00241868"/>
    <w:rsid w:val="0024400B"/>
    <w:rsid w:val="00263FA5"/>
    <w:rsid w:val="00272ADE"/>
    <w:rsid w:val="0028275B"/>
    <w:rsid w:val="00287084"/>
    <w:rsid w:val="00287CFC"/>
    <w:rsid w:val="00287FBB"/>
    <w:rsid w:val="00294421"/>
    <w:rsid w:val="002C27BE"/>
    <w:rsid w:val="002C2A09"/>
    <w:rsid w:val="002C5774"/>
    <w:rsid w:val="002D01B6"/>
    <w:rsid w:val="002D7FA2"/>
    <w:rsid w:val="002E6B78"/>
    <w:rsid w:val="002E7DFA"/>
    <w:rsid w:val="002F3094"/>
    <w:rsid w:val="003156A9"/>
    <w:rsid w:val="0031757A"/>
    <w:rsid w:val="0032786F"/>
    <w:rsid w:val="003328A8"/>
    <w:rsid w:val="003538B6"/>
    <w:rsid w:val="00374947"/>
    <w:rsid w:val="003757AB"/>
    <w:rsid w:val="003759E2"/>
    <w:rsid w:val="0039568B"/>
    <w:rsid w:val="003A345A"/>
    <w:rsid w:val="003A6353"/>
    <w:rsid w:val="003B0411"/>
    <w:rsid w:val="003B536F"/>
    <w:rsid w:val="003E3F2F"/>
    <w:rsid w:val="003E7D39"/>
    <w:rsid w:val="003F4F60"/>
    <w:rsid w:val="003F7ECC"/>
    <w:rsid w:val="004053C7"/>
    <w:rsid w:val="00405F72"/>
    <w:rsid w:val="004075EB"/>
    <w:rsid w:val="004118C0"/>
    <w:rsid w:val="00436DFE"/>
    <w:rsid w:val="00436E3E"/>
    <w:rsid w:val="004438A1"/>
    <w:rsid w:val="0044529E"/>
    <w:rsid w:val="00447EEC"/>
    <w:rsid w:val="004520A3"/>
    <w:rsid w:val="00453472"/>
    <w:rsid w:val="00461A22"/>
    <w:rsid w:val="00461BE5"/>
    <w:rsid w:val="004676C6"/>
    <w:rsid w:val="00467AA4"/>
    <w:rsid w:val="00492B77"/>
    <w:rsid w:val="00495FCD"/>
    <w:rsid w:val="004A0638"/>
    <w:rsid w:val="004A383F"/>
    <w:rsid w:val="004B1CEF"/>
    <w:rsid w:val="004B4B4E"/>
    <w:rsid w:val="004C3674"/>
    <w:rsid w:val="004D261C"/>
    <w:rsid w:val="004D5FB5"/>
    <w:rsid w:val="004E6970"/>
    <w:rsid w:val="004F5767"/>
    <w:rsid w:val="004F7EB2"/>
    <w:rsid w:val="005057CE"/>
    <w:rsid w:val="00507F70"/>
    <w:rsid w:val="00510903"/>
    <w:rsid w:val="005206E0"/>
    <w:rsid w:val="00522CCD"/>
    <w:rsid w:val="0053615E"/>
    <w:rsid w:val="005473E6"/>
    <w:rsid w:val="005503B3"/>
    <w:rsid w:val="00552AED"/>
    <w:rsid w:val="00553AD4"/>
    <w:rsid w:val="00561C2E"/>
    <w:rsid w:val="005716E7"/>
    <w:rsid w:val="00572965"/>
    <w:rsid w:val="005773CA"/>
    <w:rsid w:val="00580CB0"/>
    <w:rsid w:val="0059070D"/>
    <w:rsid w:val="00595EBE"/>
    <w:rsid w:val="005A2579"/>
    <w:rsid w:val="005A288D"/>
    <w:rsid w:val="005A5349"/>
    <w:rsid w:val="005C1E5D"/>
    <w:rsid w:val="005D383F"/>
    <w:rsid w:val="005E1183"/>
    <w:rsid w:val="005E32DE"/>
    <w:rsid w:val="005F0ED8"/>
    <w:rsid w:val="00603A21"/>
    <w:rsid w:val="00611AC7"/>
    <w:rsid w:val="00625FC9"/>
    <w:rsid w:val="006323FD"/>
    <w:rsid w:val="00633906"/>
    <w:rsid w:val="00636FE0"/>
    <w:rsid w:val="006433E6"/>
    <w:rsid w:val="00645034"/>
    <w:rsid w:val="00645E2A"/>
    <w:rsid w:val="00645F5C"/>
    <w:rsid w:val="0065220B"/>
    <w:rsid w:val="00654B0D"/>
    <w:rsid w:val="006608FF"/>
    <w:rsid w:val="00673283"/>
    <w:rsid w:val="00674849"/>
    <w:rsid w:val="0067642C"/>
    <w:rsid w:val="00692F9E"/>
    <w:rsid w:val="006A525D"/>
    <w:rsid w:val="006A7C13"/>
    <w:rsid w:val="006B1A44"/>
    <w:rsid w:val="006C04A3"/>
    <w:rsid w:val="006C14C6"/>
    <w:rsid w:val="006D026C"/>
    <w:rsid w:val="006D7805"/>
    <w:rsid w:val="006E086F"/>
    <w:rsid w:val="006F11F7"/>
    <w:rsid w:val="00714DF0"/>
    <w:rsid w:val="00734E3C"/>
    <w:rsid w:val="007475B4"/>
    <w:rsid w:val="007630C5"/>
    <w:rsid w:val="007733C1"/>
    <w:rsid w:val="007750C9"/>
    <w:rsid w:val="00783413"/>
    <w:rsid w:val="00785CBD"/>
    <w:rsid w:val="007A0686"/>
    <w:rsid w:val="007A2BF9"/>
    <w:rsid w:val="007A76D9"/>
    <w:rsid w:val="007B7952"/>
    <w:rsid w:val="007B7B05"/>
    <w:rsid w:val="007C13FE"/>
    <w:rsid w:val="007C64F8"/>
    <w:rsid w:val="007D6664"/>
    <w:rsid w:val="007E1ECA"/>
    <w:rsid w:val="008019CF"/>
    <w:rsid w:val="008027D5"/>
    <w:rsid w:val="00803508"/>
    <w:rsid w:val="008049DB"/>
    <w:rsid w:val="00815248"/>
    <w:rsid w:val="00823894"/>
    <w:rsid w:val="00827910"/>
    <w:rsid w:val="00831D43"/>
    <w:rsid w:val="00840186"/>
    <w:rsid w:val="00845F0B"/>
    <w:rsid w:val="00852790"/>
    <w:rsid w:val="00856AE2"/>
    <w:rsid w:val="00857FAD"/>
    <w:rsid w:val="008643AC"/>
    <w:rsid w:val="008A266E"/>
    <w:rsid w:val="008B3C57"/>
    <w:rsid w:val="008B54C7"/>
    <w:rsid w:val="008C3F4F"/>
    <w:rsid w:val="008D570A"/>
    <w:rsid w:val="008E4944"/>
    <w:rsid w:val="008E49EC"/>
    <w:rsid w:val="008F24D1"/>
    <w:rsid w:val="008F6508"/>
    <w:rsid w:val="008F6A16"/>
    <w:rsid w:val="00916F66"/>
    <w:rsid w:val="00933F2A"/>
    <w:rsid w:val="00935C09"/>
    <w:rsid w:val="00942222"/>
    <w:rsid w:val="009422C6"/>
    <w:rsid w:val="00944CE0"/>
    <w:rsid w:val="009458C2"/>
    <w:rsid w:val="009532B6"/>
    <w:rsid w:val="0096146D"/>
    <w:rsid w:val="00964C4A"/>
    <w:rsid w:val="00973B36"/>
    <w:rsid w:val="00984FB7"/>
    <w:rsid w:val="009955DC"/>
    <w:rsid w:val="009A32C0"/>
    <w:rsid w:val="009D4D67"/>
    <w:rsid w:val="009D5142"/>
    <w:rsid w:val="009F3E8B"/>
    <w:rsid w:val="009F6119"/>
    <w:rsid w:val="00A1021E"/>
    <w:rsid w:val="00A15E26"/>
    <w:rsid w:val="00A20072"/>
    <w:rsid w:val="00A4168C"/>
    <w:rsid w:val="00A41A8F"/>
    <w:rsid w:val="00A436B0"/>
    <w:rsid w:val="00A446AF"/>
    <w:rsid w:val="00A47FB8"/>
    <w:rsid w:val="00A57A78"/>
    <w:rsid w:val="00A62092"/>
    <w:rsid w:val="00A92BE5"/>
    <w:rsid w:val="00A93E64"/>
    <w:rsid w:val="00A94682"/>
    <w:rsid w:val="00A952B1"/>
    <w:rsid w:val="00AB37E2"/>
    <w:rsid w:val="00AC4E6E"/>
    <w:rsid w:val="00AC6BD1"/>
    <w:rsid w:val="00AE0943"/>
    <w:rsid w:val="00AE3AAE"/>
    <w:rsid w:val="00B060ED"/>
    <w:rsid w:val="00B12C33"/>
    <w:rsid w:val="00B14171"/>
    <w:rsid w:val="00B21711"/>
    <w:rsid w:val="00B2540F"/>
    <w:rsid w:val="00B27AA7"/>
    <w:rsid w:val="00B36159"/>
    <w:rsid w:val="00B41BE1"/>
    <w:rsid w:val="00B43559"/>
    <w:rsid w:val="00B542C0"/>
    <w:rsid w:val="00B5602C"/>
    <w:rsid w:val="00B60D9C"/>
    <w:rsid w:val="00B61CEA"/>
    <w:rsid w:val="00B654BA"/>
    <w:rsid w:val="00B65DCB"/>
    <w:rsid w:val="00B70AAB"/>
    <w:rsid w:val="00B80B0C"/>
    <w:rsid w:val="00B923AE"/>
    <w:rsid w:val="00BB1F15"/>
    <w:rsid w:val="00BE0BE4"/>
    <w:rsid w:val="00C0443D"/>
    <w:rsid w:val="00C15C0F"/>
    <w:rsid w:val="00C26F99"/>
    <w:rsid w:val="00C424B7"/>
    <w:rsid w:val="00C46336"/>
    <w:rsid w:val="00C52CC1"/>
    <w:rsid w:val="00C55DB5"/>
    <w:rsid w:val="00C72075"/>
    <w:rsid w:val="00C86254"/>
    <w:rsid w:val="00CA361B"/>
    <w:rsid w:val="00CA450F"/>
    <w:rsid w:val="00CB08F4"/>
    <w:rsid w:val="00CB3553"/>
    <w:rsid w:val="00CB5ECF"/>
    <w:rsid w:val="00CC0EAC"/>
    <w:rsid w:val="00CC339D"/>
    <w:rsid w:val="00CC5A2F"/>
    <w:rsid w:val="00CD3BD8"/>
    <w:rsid w:val="00CD574B"/>
    <w:rsid w:val="00CD5E88"/>
    <w:rsid w:val="00CF35C4"/>
    <w:rsid w:val="00D02DCA"/>
    <w:rsid w:val="00D237D4"/>
    <w:rsid w:val="00D40C0A"/>
    <w:rsid w:val="00D5016D"/>
    <w:rsid w:val="00D531C0"/>
    <w:rsid w:val="00D611B5"/>
    <w:rsid w:val="00D612EB"/>
    <w:rsid w:val="00D80CD6"/>
    <w:rsid w:val="00DA6520"/>
    <w:rsid w:val="00DB1E51"/>
    <w:rsid w:val="00DB3D27"/>
    <w:rsid w:val="00DB7EE4"/>
    <w:rsid w:val="00DD7E6C"/>
    <w:rsid w:val="00DE367F"/>
    <w:rsid w:val="00DF18F7"/>
    <w:rsid w:val="00DF282B"/>
    <w:rsid w:val="00E01643"/>
    <w:rsid w:val="00E03A51"/>
    <w:rsid w:val="00E1078B"/>
    <w:rsid w:val="00E15BB6"/>
    <w:rsid w:val="00E22E45"/>
    <w:rsid w:val="00E40A7D"/>
    <w:rsid w:val="00E44538"/>
    <w:rsid w:val="00E44E29"/>
    <w:rsid w:val="00E46925"/>
    <w:rsid w:val="00E50F92"/>
    <w:rsid w:val="00E61C8F"/>
    <w:rsid w:val="00E61E31"/>
    <w:rsid w:val="00E8173A"/>
    <w:rsid w:val="00E870EE"/>
    <w:rsid w:val="00E87F05"/>
    <w:rsid w:val="00E91930"/>
    <w:rsid w:val="00E93E95"/>
    <w:rsid w:val="00EA1167"/>
    <w:rsid w:val="00EA367C"/>
    <w:rsid w:val="00EA685B"/>
    <w:rsid w:val="00EB3F4E"/>
    <w:rsid w:val="00EC493B"/>
    <w:rsid w:val="00EC5F0A"/>
    <w:rsid w:val="00EC7380"/>
    <w:rsid w:val="00EE51AF"/>
    <w:rsid w:val="00F02A24"/>
    <w:rsid w:val="00F04199"/>
    <w:rsid w:val="00F064ED"/>
    <w:rsid w:val="00F07EBC"/>
    <w:rsid w:val="00F1192F"/>
    <w:rsid w:val="00F22C93"/>
    <w:rsid w:val="00F25617"/>
    <w:rsid w:val="00F34658"/>
    <w:rsid w:val="00F35432"/>
    <w:rsid w:val="00F418C0"/>
    <w:rsid w:val="00F461DE"/>
    <w:rsid w:val="00F62325"/>
    <w:rsid w:val="00F816BB"/>
    <w:rsid w:val="00F86468"/>
    <w:rsid w:val="00F877D2"/>
    <w:rsid w:val="00FA2DB8"/>
    <w:rsid w:val="00FA3D01"/>
    <w:rsid w:val="00FA4DC3"/>
    <w:rsid w:val="00FB4E20"/>
    <w:rsid w:val="00FC1B9A"/>
    <w:rsid w:val="00FD52CA"/>
    <w:rsid w:val="00FD6F62"/>
    <w:rsid w:val="00FE440D"/>
    <w:rsid w:val="00FF5B4E"/>
    <w:rsid w:val="00FF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DC7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43"/>
    <w:pPr>
      <w:spacing w:line="276" w:lineRule="auto"/>
      <w:jc w:val="both"/>
    </w:pPr>
    <w:rPr>
      <w:rFonts w:ascii="cambia" w:eastAsiaTheme="minorHAnsi" w:hAnsi="cambia" w:cs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02A24"/>
    <w:pPr>
      <w:keepNext/>
      <w:keepLines/>
      <w:numPr>
        <w:numId w:val="7"/>
      </w:numPr>
      <w:spacing w:before="20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A525D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6A52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A525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25D"/>
    <w:rPr>
      <w:rFonts w:ascii="Arial" w:eastAsiaTheme="minorHAnsi" w:hAnsi="Arial" w:cs="Arial"/>
      <w:lang w:val="ru-RU" w:eastAsia="en-US"/>
    </w:rPr>
  </w:style>
  <w:style w:type="character" w:styleId="FootnoteReference">
    <w:name w:val="footnote reference"/>
    <w:basedOn w:val="DefaultParagraphFont"/>
    <w:uiPriority w:val="99"/>
    <w:unhideWhenUsed/>
    <w:rsid w:val="006A525D"/>
    <w:rPr>
      <w:vertAlign w:val="superscript"/>
    </w:rPr>
  </w:style>
  <w:style w:type="paragraph" w:styleId="BalloonText">
    <w:name w:val="Balloon Text"/>
    <w:basedOn w:val="Normal"/>
    <w:link w:val="BalloonTextChar"/>
    <w:rsid w:val="006A525D"/>
    <w:pPr>
      <w:spacing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rsid w:val="006A525D"/>
    <w:rPr>
      <w:rFonts w:ascii="Tahoma" w:eastAsiaTheme="minorHAnsi" w:hAnsi="Tahoma" w:cs="Tahoma"/>
      <w:sz w:val="20"/>
      <w:szCs w:val="16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ListParagraph">
    <w:name w:val="List Paragraph"/>
    <w:basedOn w:val="Normal"/>
    <w:uiPriority w:val="34"/>
    <w:qFormat/>
    <w:rsid w:val="006A525D"/>
    <w:pPr>
      <w:ind w:left="720"/>
      <w:contextualSpacing/>
    </w:pPr>
  </w:style>
  <w:style w:type="table" w:styleId="TableGrid">
    <w:name w:val="Table Grid"/>
    <w:basedOn w:val="TableNormal"/>
    <w:uiPriority w:val="59"/>
    <w:rsid w:val="006A525D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A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25D"/>
    <w:rPr>
      <w:rFonts w:ascii="cambia" w:eastAsiaTheme="minorHAnsi" w:hAnsi="cambia" w:cs="Arial"/>
      <w:sz w:val="20"/>
      <w:szCs w:val="20"/>
      <w:lang w:val="ru-R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A525D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000000"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A525D"/>
    <w:rPr>
      <w:rFonts w:ascii="Arial" w:eastAsia="Times New Roman" w:hAnsi="Arial" w:cs="Arial"/>
      <w:vanish/>
      <w:color w:val="000000"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52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rsid w:val="003538B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538B6"/>
    <w:rPr>
      <w:rFonts w:ascii="Arial" w:eastAsiaTheme="minorHAnsi" w:hAnsi="Arial" w:cs="Arial"/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3538B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B6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F02A24"/>
    <w:rPr>
      <w:rFonts w:asciiTheme="majorHAnsi" w:eastAsiaTheme="majorEastAsia" w:hAnsiTheme="majorHAnsi" w:cstheme="majorBidi"/>
      <w:b/>
      <w:bCs/>
      <w:color w:val="000000" w:themeColor="text1"/>
      <w:szCs w:val="26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5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E26"/>
    <w:rPr>
      <w:rFonts w:ascii="Arial" w:eastAsiaTheme="minorHAnsi" w:hAnsi="Arial" w:cs="Arial"/>
      <w:b/>
      <w:bCs/>
      <w:sz w:val="20"/>
      <w:szCs w:val="20"/>
      <w:lang w:val="ru-RU" w:eastAsia="en-US"/>
    </w:rPr>
  </w:style>
  <w:style w:type="paragraph" w:styleId="DocumentMap">
    <w:name w:val="Document Map"/>
    <w:basedOn w:val="Normal"/>
    <w:link w:val="DocumentMapChar"/>
    <w:rsid w:val="008027D5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8027D5"/>
    <w:rPr>
      <w:rFonts w:ascii="Lucida Grande" w:eastAsiaTheme="minorHAnsi" w:hAnsi="Lucida Grande" w:cs="Lucida Grande"/>
      <w:lang w:val="ru-RU" w:eastAsia="en-US"/>
    </w:rPr>
  </w:style>
  <w:style w:type="paragraph" w:customStyle="1" w:styleId="j12">
    <w:name w:val="j12"/>
    <w:basedOn w:val="Normal"/>
    <w:rsid w:val="00143D6F"/>
    <w:pPr>
      <w:spacing w:line="240" w:lineRule="auto"/>
      <w:textAlignment w:val="baseline"/>
    </w:pPr>
    <w:rPr>
      <w:rFonts w:ascii="inherit" w:eastAsia="Times New Roman" w:hAnsi="inherit" w:cs="Times New Roman"/>
      <w:sz w:val="24"/>
      <w:szCs w:val="24"/>
      <w:lang w:val="en-GB" w:eastAsia="en-GB"/>
    </w:rPr>
  </w:style>
  <w:style w:type="character" w:customStyle="1" w:styleId="s31">
    <w:name w:val="s31"/>
    <w:basedOn w:val="DefaultParagraphFont"/>
    <w:rsid w:val="00143D6F"/>
    <w:rPr>
      <w:vanish/>
      <w:webHidden w:val="0"/>
      <w:specVanish w:val="0"/>
    </w:rPr>
  </w:style>
  <w:style w:type="character" w:customStyle="1" w:styleId="s1">
    <w:name w:val="s1"/>
    <w:basedOn w:val="DefaultParagraphFont"/>
    <w:rsid w:val="00143D6F"/>
    <w:rPr>
      <w:rFonts w:ascii="Times New Roman" w:hAnsi="Times New Roman" w:cs="Times New Roman" w:hint="default"/>
      <w:b/>
      <w:bCs/>
      <w:color w:val="000000"/>
    </w:rPr>
  </w:style>
  <w:style w:type="paragraph" w:customStyle="1" w:styleId="title4">
    <w:name w:val="title4"/>
    <w:basedOn w:val="Normal"/>
    <w:rsid w:val="00143D6F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DA6520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ED8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FD52C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0AAB"/>
    <w:rPr>
      <w:color w:val="605E5C"/>
      <w:shd w:val="clear" w:color="auto" w:fill="E1DFDD"/>
    </w:rPr>
  </w:style>
  <w:style w:type="paragraph" w:customStyle="1" w:styleId="MDPI71References">
    <w:name w:val="MDPI_7.1_References"/>
    <w:basedOn w:val="Normal"/>
    <w:qFormat/>
    <w:rsid w:val="003759E2"/>
    <w:pPr>
      <w:numPr>
        <w:numId w:val="9"/>
      </w:numPr>
      <w:adjustRightInd w:val="0"/>
      <w:snapToGrid w:val="0"/>
      <w:spacing w:line="260" w:lineRule="atLeast"/>
      <w:ind w:left="425" w:hanging="425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styleId="FollowedHyperlink">
    <w:name w:val="FollowedHyperlink"/>
    <w:basedOn w:val="DefaultParagraphFont"/>
    <w:semiHidden/>
    <w:unhideWhenUsed/>
    <w:rsid w:val="003759E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1B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customStyle="1" w:styleId="UnresolvedMention">
    <w:name w:val="Unresolved Mention"/>
    <w:basedOn w:val="DefaultParagraphFont"/>
    <w:rsid w:val="002870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43"/>
    <w:pPr>
      <w:spacing w:line="276" w:lineRule="auto"/>
      <w:jc w:val="both"/>
    </w:pPr>
    <w:rPr>
      <w:rFonts w:ascii="cambia" w:eastAsiaTheme="minorHAnsi" w:hAnsi="cambia" w:cs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02A24"/>
    <w:pPr>
      <w:keepNext/>
      <w:keepLines/>
      <w:numPr>
        <w:numId w:val="7"/>
      </w:numPr>
      <w:spacing w:before="20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A525D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6A52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A525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25D"/>
    <w:rPr>
      <w:rFonts w:ascii="Arial" w:eastAsiaTheme="minorHAnsi" w:hAnsi="Arial" w:cs="Arial"/>
      <w:lang w:val="ru-RU" w:eastAsia="en-US"/>
    </w:rPr>
  </w:style>
  <w:style w:type="character" w:styleId="FootnoteReference">
    <w:name w:val="footnote reference"/>
    <w:basedOn w:val="DefaultParagraphFont"/>
    <w:uiPriority w:val="99"/>
    <w:unhideWhenUsed/>
    <w:rsid w:val="006A525D"/>
    <w:rPr>
      <w:vertAlign w:val="superscript"/>
    </w:rPr>
  </w:style>
  <w:style w:type="paragraph" w:styleId="BalloonText">
    <w:name w:val="Balloon Text"/>
    <w:basedOn w:val="Normal"/>
    <w:link w:val="BalloonTextChar"/>
    <w:rsid w:val="006A525D"/>
    <w:pPr>
      <w:spacing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rsid w:val="006A525D"/>
    <w:rPr>
      <w:rFonts w:ascii="Tahoma" w:eastAsiaTheme="minorHAnsi" w:hAnsi="Tahoma" w:cs="Tahoma"/>
      <w:sz w:val="20"/>
      <w:szCs w:val="16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ListParagraph">
    <w:name w:val="List Paragraph"/>
    <w:basedOn w:val="Normal"/>
    <w:uiPriority w:val="34"/>
    <w:qFormat/>
    <w:rsid w:val="006A525D"/>
    <w:pPr>
      <w:ind w:left="720"/>
      <w:contextualSpacing/>
    </w:pPr>
  </w:style>
  <w:style w:type="table" w:styleId="TableGrid">
    <w:name w:val="Table Grid"/>
    <w:basedOn w:val="TableNormal"/>
    <w:uiPriority w:val="59"/>
    <w:rsid w:val="006A525D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A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25D"/>
    <w:rPr>
      <w:rFonts w:ascii="cambia" w:eastAsiaTheme="minorHAnsi" w:hAnsi="cambia" w:cs="Arial"/>
      <w:sz w:val="20"/>
      <w:szCs w:val="20"/>
      <w:lang w:val="ru-R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A525D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000000"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A525D"/>
    <w:rPr>
      <w:rFonts w:ascii="Arial" w:eastAsia="Times New Roman" w:hAnsi="Arial" w:cs="Arial"/>
      <w:vanish/>
      <w:color w:val="000000"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52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rsid w:val="003538B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538B6"/>
    <w:rPr>
      <w:rFonts w:ascii="Arial" w:eastAsiaTheme="minorHAnsi" w:hAnsi="Arial" w:cs="Arial"/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3538B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B6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F02A24"/>
    <w:rPr>
      <w:rFonts w:asciiTheme="majorHAnsi" w:eastAsiaTheme="majorEastAsia" w:hAnsiTheme="majorHAnsi" w:cstheme="majorBidi"/>
      <w:b/>
      <w:bCs/>
      <w:color w:val="000000" w:themeColor="text1"/>
      <w:szCs w:val="26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5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E26"/>
    <w:rPr>
      <w:rFonts w:ascii="Arial" w:eastAsiaTheme="minorHAnsi" w:hAnsi="Arial" w:cs="Arial"/>
      <w:b/>
      <w:bCs/>
      <w:sz w:val="20"/>
      <w:szCs w:val="20"/>
      <w:lang w:val="ru-RU" w:eastAsia="en-US"/>
    </w:rPr>
  </w:style>
  <w:style w:type="paragraph" w:styleId="DocumentMap">
    <w:name w:val="Document Map"/>
    <w:basedOn w:val="Normal"/>
    <w:link w:val="DocumentMapChar"/>
    <w:rsid w:val="008027D5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8027D5"/>
    <w:rPr>
      <w:rFonts w:ascii="Lucida Grande" w:eastAsiaTheme="minorHAnsi" w:hAnsi="Lucida Grande" w:cs="Lucida Grande"/>
      <w:lang w:val="ru-RU" w:eastAsia="en-US"/>
    </w:rPr>
  </w:style>
  <w:style w:type="paragraph" w:customStyle="1" w:styleId="j12">
    <w:name w:val="j12"/>
    <w:basedOn w:val="Normal"/>
    <w:rsid w:val="00143D6F"/>
    <w:pPr>
      <w:spacing w:line="240" w:lineRule="auto"/>
      <w:textAlignment w:val="baseline"/>
    </w:pPr>
    <w:rPr>
      <w:rFonts w:ascii="inherit" w:eastAsia="Times New Roman" w:hAnsi="inherit" w:cs="Times New Roman"/>
      <w:sz w:val="24"/>
      <w:szCs w:val="24"/>
      <w:lang w:val="en-GB" w:eastAsia="en-GB"/>
    </w:rPr>
  </w:style>
  <w:style w:type="character" w:customStyle="1" w:styleId="s31">
    <w:name w:val="s31"/>
    <w:basedOn w:val="DefaultParagraphFont"/>
    <w:rsid w:val="00143D6F"/>
    <w:rPr>
      <w:vanish/>
      <w:webHidden w:val="0"/>
      <w:specVanish w:val="0"/>
    </w:rPr>
  </w:style>
  <w:style w:type="character" w:customStyle="1" w:styleId="s1">
    <w:name w:val="s1"/>
    <w:basedOn w:val="DefaultParagraphFont"/>
    <w:rsid w:val="00143D6F"/>
    <w:rPr>
      <w:rFonts w:ascii="Times New Roman" w:hAnsi="Times New Roman" w:cs="Times New Roman" w:hint="default"/>
      <w:b/>
      <w:bCs/>
      <w:color w:val="000000"/>
    </w:rPr>
  </w:style>
  <w:style w:type="paragraph" w:customStyle="1" w:styleId="title4">
    <w:name w:val="title4"/>
    <w:basedOn w:val="Normal"/>
    <w:rsid w:val="00143D6F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DA6520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ED8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FD52C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0AAB"/>
    <w:rPr>
      <w:color w:val="605E5C"/>
      <w:shd w:val="clear" w:color="auto" w:fill="E1DFDD"/>
    </w:rPr>
  </w:style>
  <w:style w:type="paragraph" w:customStyle="1" w:styleId="MDPI71References">
    <w:name w:val="MDPI_7.1_References"/>
    <w:basedOn w:val="Normal"/>
    <w:qFormat/>
    <w:rsid w:val="003759E2"/>
    <w:pPr>
      <w:numPr>
        <w:numId w:val="9"/>
      </w:numPr>
      <w:adjustRightInd w:val="0"/>
      <w:snapToGrid w:val="0"/>
      <w:spacing w:line="260" w:lineRule="atLeast"/>
      <w:ind w:left="425" w:hanging="425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styleId="FollowedHyperlink">
    <w:name w:val="FollowedHyperlink"/>
    <w:basedOn w:val="DefaultParagraphFont"/>
    <w:semiHidden/>
    <w:unhideWhenUsed/>
    <w:rsid w:val="003759E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1B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customStyle="1" w:styleId="UnresolvedMention">
    <w:name w:val="Unresolved Mention"/>
    <w:basedOn w:val="DefaultParagraphFont"/>
    <w:rsid w:val="0028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creativecommons.org/licenses/by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osce-academy.net/_dbelite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osce-academy.net/en/research/cadg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9C15-D644-4BA0-90E9-81B3E0F2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Fjæstad</dc:creator>
  <cp:lastModifiedBy>Victoriya</cp:lastModifiedBy>
  <cp:revision>2</cp:revision>
  <cp:lastPrinted>2019-01-14T05:57:00Z</cp:lastPrinted>
  <dcterms:created xsi:type="dcterms:W3CDTF">2019-02-13T09:07:00Z</dcterms:created>
  <dcterms:modified xsi:type="dcterms:W3CDTF">2019-02-13T09:07:00Z</dcterms:modified>
</cp:coreProperties>
</file>