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23E6" w14:textId="20A3A35D" w:rsidR="005F0ED8" w:rsidRPr="001539E0" w:rsidRDefault="00B65DCB" w:rsidP="00113F1E">
      <w:pPr>
        <w:spacing w:line="240" w:lineRule="auto"/>
        <w:jc w:val="center"/>
        <w:rPr>
          <w:rFonts w:ascii="Cambria" w:hAnsi="Cambria" w:cs="Times New Roman"/>
          <w:color w:val="0070C0"/>
          <w:sz w:val="18"/>
          <w:szCs w:val="18"/>
          <w:lang w:val="en-US"/>
        </w:rPr>
      </w:pPr>
      <w:r w:rsidRPr="001539E0">
        <w:rPr>
          <w:rFonts w:ascii="Cambria" w:hAnsi="Cambria" w:cs="Times New Roman"/>
          <w:color w:val="0070C0"/>
          <w:sz w:val="18"/>
          <w:szCs w:val="18"/>
          <w:lang w:val="en-US"/>
        </w:rPr>
        <w:t xml:space="preserve">Central Asia Regional Data </w:t>
      </w:r>
      <w:r w:rsidRPr="002712EA">
        <w:rPr>
          <w:rFonts w:ascii="Cambria" w:hAnsi="Cambria" w:cs="Times New Roman"/>
          <w:color w:val="0070C0"/>
          <w:sz w:val="18"/>
          <w:szCs w:val="18"/>
          <w:lang w:val="en-US"/>
        </w:rPr>
        <w:t xml:space="preserve">Review </w:t>
      </w:r>
      <w:r w:rsidR="00844C4F">
        <w:rPr>
          <w:rFonts w:ascii="Cambria" w:hAnsi="Cambria" w:cs="Times New Roman"/>
          <w:color w:val="0070C0"/>
          <w:sz w:val="18"/>
          <w:szCs w:val="18"/>
          <w:lang w:val="en-US"/>
        </w:rPr>
        <w:t>20</w:t>
      </w:r>
      <w:r w:rsidRPr="002712EA">
        <w:rPr>
          <w:rFonts w:ascii="Cambria" w:hAnsi="Cambria" w:cs="Times New Roman"/>
          <w:color w:val="0070C0"/>
          <w:sz w:val="18"/>
          <w:szCs w:val="18"/>
          <w:lang w:val="en-US"/>
        </w:rPr>
        <w:t xml:space="preserve"> (2019) 1–</w:t>
      </w:r>
      <w:r w:rsidR="00AA45B9">
        <w:rPr>
          <w:rFonts w:ascii="Cambria" w:hAnsi="Cambria" w:cs="Times New Roman"/>
          <w:color w:val="0070C0"/>
          <w:sz w:val="18"/>
          <w:szCs w:val="18"/>
          <w:lang w:val="en-US"/>
        </w:rPr>
        <w:t>5</w:t>
      </w:r>
      <w:r w:rsidRPr="002712EA">
        <w:rPr>
          <w:rFonts w:ascii="Cambria" w:hAnsi="Cambria" w:cs="Times New Roman"/>
          <w:color w:val="0070C0"/>
          <w:sz w:val="18"/>
          <w:szCs w:val="18"/>
          <w:lang w:val="en-US"/>
        </w:rPr>
        <w:t>.</w:t>
      </w:r>
    </w:p>
    <w:p w14:paraId="565E9141" w14:textId="29220633" w:rsidR="00B65DCB" w:rsidRPr="001539E0" w:rsidRDefault="00B65DCB" w:rsidP="00973B36">
      <w:pPr>
        <w:spacing w:line="240" w:lineRule="auto"/>
        <w:rPr>
          <w:rFonts w:ascii="Cambria" w:hAnsi="Cambria" w:cs="Times New Roman"/>
          <w:lang w:val="en-US"/>
        </w:rPr>
      </w:pPr>
    </w:p>
    <w:p w14:paraId="262D221C" w14:textId="7273496E" w:rsidR="00B65DCB" w:rsidRPr="001539E0" w:rsidRDefault="00467AA4" w:rsidP="00973B36">
      <w:pPr>
        <w:spacing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DD553" wp14:editId="48577E3E">
                <wp:simplePos x="0" y="0"/>
                <wp:positionH relativeFrom="column">
                  <wp:posOffset>1290955</wp:posOffset>
                </wp:positionH>
                <wp:positionV relativeFrom="paragraph">
                  <wp:posOffset>136112</wp:posOffset>
                </wp:positionV>
                <wp:extent cx="3505835" cy="3848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384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944E3" w14:textId="380A6AED" w:rsidR="00FB6D40" w:rsidRPr="001A0770" w:rsidRDefault="00FB6D40" w:rsidP="007C64F8">
                            <w:pPr>
                              <w:jc w:val="center"/>
                              <w:rPr>
                                <w:rFonts w:ascii="Cambria" w:hAnsi="Cambria" w:cs="Times New Roman"/>
                                <w:lang w:val="en-US"/>
                              </w:rPr>
                            </w:pPr>
                            <w:r w:rsidRPr="001A0770">
                              <w:rPr>
                                <w:rFonts w:ascii="Cambria" w:hAnsi="Cambria" w:cs="Times New Roman"/>
                                <w:lang w:val="en-US"/>
                              </w:rPr>
                              <w:t>Central Asia Data</w:t>
                            </w:r>
                            <w:r>
                              <w:rPr>
                                <w:rFonts w:ascii="Cambria" w:hAnsi="Cambria" w:cs="Times New Roman"/>
                                <w:lang w:val="en-US"/>
                              </w:rPr>
                              <w:t>-</w:t>
                            </w:r>
                            <w:r w:rsidRPr="001A0770">
                              <w:rPr>
                                <w:rFonts w:ascii="Cambria" w:hAnsi="Cambria" w:cs="Times New Roman"/>
                                <w:lang w:val="en-US"/>
                              </w:rPr>
                              <w:t>Gathering and Analysis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D5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1.65pt;margin-top:10.7pt;width:276.05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" fillcolor="#d8d8d8 [2732]" stroked="f" strokeweight=".5pt">
                <v:textbox>
                  <w:txbxContent>
                    <w:p w14:paraId="223944E3" w14:textId="380A6AED" w:rsidR="00FB6D40" w:rsidRPr="001A0770" w:rsidRDefault="00FB6D40" w:rsidP="007C64F8">
                      <w:pPr>
                        <w:jc w:val="center"/>
                        <w:rPr>
                          <w:rFonts w:ascii="Cambria" w:hAnsi="Cambria" w:cs="Times New Roman"/>
                          <w:lang w:val="en-US"/>
                        </w:rPr>
                      </w:pPr>
                      <w:r w:rsidRPr="001A0770">
                        <w:rPr>
                          <w:rFonts w:ascii="Cambria" w:hAnsi="Cambria" w:cs="Times New Roman"/>
                          <w:lang w:val="en-US"/>
                        </w:rPr>
                        <w:t>Central Asia Data</w:t>
                      </w:r>
                      <w:r>
                        <w:rPr>
                          <w:rFonts w:ascii="Cambria" w:hAnsi="Cambria" w:cs="Times New Roman"/>
                          <w:lang w:val="en-US"/>
                        </w:rPr>
                        <w:t>-</w:t>
                      </w:r>
                      <w:r w:rsidRPr="001A0770">
                        <w:rPr>
                          <w:rFonts w:ascii="Cambria" w:hAnsi="Cambria" w:cs="Times New Roman"/>
                          <w:lang w:val="en-US"/>
                        </w:rPr>
                        <w:t>Gathering and Analysis Team</w:t>
                      </w:r>
                    </w:p>
                  </w:txbxContent>
                </v:textbox>
              </v:shape>
            </w:pict>
          </mc:Fallback>
        </mc:AlternateContent>
      </w:r>
      <w:r w:rsidR="007C64F8"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654D9" wp14:editId="4BD4EC42">
                <wp:simplePos x="0" y="0"/>
                <wp:positionH relativeFrom="column">
                  <wp:posOffset>4888760</wp:posOffset>
                </wp:positionH>
                <wp:positionV relativeFrom="paragraph">
                  <wp:posOffset>164901</wp:posOffset>
                </wp:positionV>
                <wp:extent cx="823716" cy="3848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716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BD4CD" w14:textId="2D5755B0" w:rsidR="00FB6D40" w:rsidRPr="007C64F8" w:rsidRDefault="00FB6D40" w:rsidP="007C64F8">
                            <w:pPr>
                              <w:jc w:val="center"/>
                              <w:rPr>
                                <w:rFonts w:ascii="Arial Narrow" w:hAnsi="Arial Narrow" w:cs="Calibri Light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C64F8">
                              <w:rPr>
                                <w:rFonts w:ascii="Arial Narrow" w:hAnsi="Arial Narrow" w:cs="Calibri Light"/>
                                <w:sz w:val="28"/>
                                <w:szCs w:val="28"/>
                                <w:lang w:val="nb-NO"/>
                              </w:rPr>
                              <w:t>CADGAT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54D9" id="Text Box 8" o:spid="_x0000_s1027" type="#_x0000_t202" style="position:absolute;left:0;text-align:left;margin-left:384.95pt;margin-top:13pt;width:64.85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" filled="f" stroked="f" strokeweight=".5pt">
                <v:textbox>
                  <w:txbxContent>
                    <w:p w14:paraId="4B7BD4CD" w14:textId="2D5755B0" w:rsidR="00FB6D40" w:rsidRPr="007C64F8" w:rsidRDefault="00FB6D40" w:rsidP="007C64F8">
                      <w:pPr>
                        <w:jc w:val="center"/>
                        <w:rPr>
                          <w:rFonts w:ascii="Arial Narrow" w:hAnsi="Arial Narrow" w:cs="Calibri Light"/>
                          <w:sz w:val="28"/>
                          <w:szCs w:val="28"/>
                          <w:lang w:val="nb-NO"/>
                        </w:rPr>
                      </w:pPr>
                      <w:r w:rsidRPr="007C64F8">
                        <w:rPr>
                          <w:rFonts w:ascii="Arial Narrow" w:hAnsi="Arial Narrow" w:cs="Calibri Light"/>
                          <w:sz w:val="28"/>
                          <w:szCs w:val="28"/>
                          <w:lang w:val="nb-NO"/>
                        </w:rPr>
                        <w:t>CADGAT</w:t>
                      </w:r>
                    </w:p>
                  </w:txbxContent>
                </v:textbox>
              </v:shape>
            </w:pict>
          </mc:Fallback>
        </mc:AlternateContent>
      </w:r>
      <w:r w:rsidR="00B65DCB"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D2032" wp14:editId="5CD13327">
                <wp:simplePos x="0" y="0"/>
                <wp:positionH relativeFrom="column">
                  <wp:posOffset>0</wp:posOffset>
                </wp:positionH>
                <wp:positionV relativeFrom="paragraph">
                  <wp:posOffset>33592</wp:posOffset>
                </wp:positionV>
                <wp:extent cx="5773420" cy="0"/>
                <wp:effectExtent l="0" t="0" r="1778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29C6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5pt" to="454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" strokecolor="black [3040]" strokeweight=".25pt"/>
            </w:pict>
          </mc:Fallback>
        </mc:AlternateContent>
      </w:r>
      <w:r w:rsidR="00B65DCB" w:rsidRPr="001539E0">
        <w:rPr>
          <w:rFonts w:ascii="Cambria" w:hAnsi="Cambria" w:cs="Times New Roman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3219DBC" wp14:editId="1954A3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8235" cy="328295"/>
            <wp:effectExtent l="0" t="0" r="0" b="0"/>
            <wp:wrapNone/>
            <wp:docPr id="3" name="Picture 3" descr="C:\Users\Tatiana\Desktop\downloads\NEW LOGO\for web\web-OSCE-Academy-255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downloads\NEW LOGO\for web\web-OSCE-Academy-255x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09693" w14:textId="74365598" w:rsidR="006A525D" w:rsidRPr="001539E0" w:rsidRDefault="007C64F8" w:rsidP="00973B36">
      <w:pPr>
        <w:pStyle w:val="Default"/>
        <w:rPr>
          <w:rFonts w:ascii="Cambria" w:hAnsi="Cambria" w:cs="Times New Roman"/>
          <w:lang w:val="en-US"/>
        </w:rPr>
      </w:pPr>
      <w:r w:rsidRPr="001539E0">
        <w:rPr>
          <w:rFonts w:ascii="Cambria" w:eastAsia="Times New Roman" w:hAnsi="Cambria" w:cs="Times New Roman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8E35A61" wp14:editId="491744D6">
            <wp:simplePos x="0" y="0"/>
            <wp:positionH relativeFrom="column">
              <wp:posOffset>-22225</wp:posOffset>
            </wp:positionH>
            <wp:positionV relativeFrom="paragraph">
              <wp:posOffset>94452</wp:posOffset>
            </wp:positionV>
            <wp:extent cx="982345" cy="307340"/>
            <wp:effectExtent l="0" t="0" r="0" b="0"/>
            <wp:wrapNone/>
            <wp:docPr id="1" name="Picture 1" descr="https://www.nupi.no/var/nupi/storage/images/media/images/logoer/nupi_logo_english_rgb/276703-2-nor-NO/nupi_logo_english_rgb_editor_artik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pi.no/var/nupi/storage/images/media/images/logoer/nupi_logo_english_rgb/276703-2-nor-NO/nupi_logo_english_rgb_editor_artikk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CB" w:rsidRPr="001539E0">
        <w:rPr>
          <w:rFonts w:ascii="Cambria" w:eastAsia="Times New Roman" w:hAnsi="Cambria" w:cs="Times New Roman"/>
          <w:lang w:val="en-US"/>
        </w:rPr>
        <w:fldChar w:fldCharType="begin"/>
      </w:r>
      <w:r w:rsidR="00B65DCB" w:rsidRPr="001539E0">
        <w:rPr>
          <w:rFonts w:ascii="Cambria" w:eastAsia="Times New Roman" w:hAnsi="Cambria" w:cs="Times New Roman"/>
          <w:lang w:val="en-US"/>
        </w:rPr>
        <w:instrText xml:space="preserve"> INCLUDEPICTURE "https://www.nupi.no/var/nupi/storage/images/media/images/logoer/nupi_logo_english_rgb/276703-2-nor-NO/nupi_logo_english_rgb_editor_artikkel.png" \* MERGEFORMATINET </w:instrText>
      </w:r>
      <w:r w:rsidR="00B65DCB" w:rsidRPr="001539E0">
        <w:rPr>
          <w:rFonts w:ascii="Cambria" w:eastAsia="Times New Roman" w:hAnsi="Cambria" w:cs="Times New Roman"/>
          <w:lang w:val="en-US"/>
        </w:rPr>
        <w:fldChar w:fldCharType="end"/>
      </w:r>
    </w:p>
    <w:p w14:paraId="2E3D7F9D" w14:textId="1AC32CD4" w:rsidR="006A525D" w:rsidRPr="001539E0" w:rsidRDefault="006A525D" w:rsidP="00973B36">
      <w:pPr>
        <w:pStyle w:val="Default"/>
        <w:rPr>
          <w:rFonts w:ascii="Cambria" w:hAnsi="Cambria" w:cs="Times New Roman"/>
          <w:lang w:val="en-US"/>
        </w:rPr>
      </w:pPr>
    </w:p>
    <w:p w14:paraId="0FDED440" w14:textId="27723853" w:rsidR="006A525D" w:rsidRPr="001539E0" w:rsidRDefault="00B65DCB" w:rsidP="00973B36">
      <w:pPr>
        <w:pStyle w:val="Default"/>
        <w:rPr>
          <w:rFonts w:ascii="Cambria" w:hAnsi="Cambria" w:cs="Calibri Light"/>
          <w:lang w:val="en-US"/>
        </w:rPr>
      </w:pPr>
      <w:r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DA40" wp14:editId="163D5D94">
                <wp:simplePos x="0" y="0"/>
                <wp:positionH relativeFrom="column">
                  <wp:posOffset>-635</wp:posOffset>
                </wp:positionH>
                <wp:positionV relativeFrom="paragraph">
                  <wp:posOffset>74132</wp:posOffset>
                </wp:positionV>
                <wp:extent cx="5773420" cy="0"/>
                <wp:effectExtent l="0" t="1270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F0E1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.85pt" to="454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" strokecolor="black [3040]" strokeweight="2.25pt"/>
            </w:pict>
          </mc:Fallback>
        </mc:AlternateContent>
      </w:r>
    </w:p>
    <w:p w14:paraId="2515A25A" w14:textId="77777777" w:rsidR="00467AA4" w:rsidRPr="001539E0" w:rsidRDefault="00467AA4" w:rsidP="00A4168C">
      <w:pPr>
        <w:pStyle w:val="Default"/>
        <w:rPr>
          <w:rFonts w:ascii="Cambria" w:hAnsi="Cambria" w:cs="Times New Roman"/>
          <w:lang w:val="en-US"/>
        </w:rPr>
      </w:pPr>
    </w:p>
    <w:p w14:paraId="4B3AA36B" w14:textId="53606710" w:rsidR="00B47934" w:rsidRPr="001539E0" w:rsidRDefault="00B47934" w:rsidP="00B47934">
      <w:pPr>
        <w:pStyle w:val="Default"/>
        <w:rPr>
          <w:rFonts w:ascii="Cambria" w:hAnsi="Cambria" w:cs="Times New Roman"/>
          <w:sz w:val="32"/>
          <w:szCs w:val="32"/>
          <w:lang w:val="en-US"/>
        </w:rPr>
      </w:pPr>
      <w:r w:rsidRPr="001539E0">
        <w:rPr>
          <w:rFonts w:ascii="Cambria" w:hAnsi="Cambria" w:cs="Times New Roman"/>
          <w:sz w:val="32"/>
          <w:szCs w:val="32"/>
          <w:lang w:val="en-US"/>
        </w:rPr>
        <w:t>BRI</w:t>
      </w:r>
      <w:r w:rsidR="00EF4151">
        <w:rPr>
          <w:rFonts w:ascii="Cambria" w:hAnsi="Cambria" w:cs="Times New Roman"/>
          <w:sz w:val="32"/>
          <w:szCs w:val="32"/>
          <w:lang w:val="en-US"/>
        </w:rPr>
        <w:t xml:space="preserve"> </w:t>
      </w:r>
      <w:r w:rsidRPr="001539E0">
        <w:rPr>
          <w:rFonts w:ascii="Cambria" w:hAnsi="Cambria" w:cs="Times New Roman"/>
          <w:sz w:val="32"/>
          <w:szCs w:val="32"/>
          <w:lang w:val="en-US"/>
        </w:rPr>
        <w:t>in Central Asia</w:t>
      </w:r>
      <w:r w:rsidR="00EF4151">
        <w:rPr>
          <w:rFonts w:ascii="Cambria" w:hAnsi="Cambria" w:cs="Times New Roman"/>
          <w:sz w:val="32"/>
          <w:szCs w:val="32"/>
          <w:lang w:val="en-US"/>
        </w:rPr>
        <w:t>: Overview of Chinese Projects</w:t>
      </w:r>
    </w:p>
    <w:p w14:paraId="4E1BAB53" w14:textId="77777777" w:rsidR="00467AA4" w:rsidRPr="001539E0" w:rsidRDefault="00467AA4" w:rsidP="00973B36">
      <w:pPr>
        <w:pStyle w:val="Default"/>
        <w:jc w:val="center"/>
        <w:rPr>
          <w:rFonts w:ascii="Cambria" w:hAnsi="Cambria" w:cs="Times New Roman"/>
          <w:sz w:val="32"/>
          <w:lang w:val="en-US"/>
        </w:rPr>
      </w:pPr>
    </w:p>
    <w:p w14:paraId="6990B4FA" w14:textId="174ACEAA" w:rsidR="00FF6EC2" w:rsidRPr="00FD52CA" w:rsidRDefault="00FF6EC2" w:rsidP="00FF6EC2">
      <w:pPr>
        <w:pStyle w:val="Default"/>
        <w:rPr>
          <w:rFonts w:ascii="Cambria" w:hAnsi="Cambria" w:cs="Times New Roman"/>
          <w:lang w:val="en-US"/>
        </w:rPr>
      </w:pPr>
      <w:proofErr w:type="spellStart"/>
      <w:r w:rsidRPr="00FD52CA">
        <w:rPr>
          <w:rFonts w:ascii="Cambria" w:hAnsi="Cambria" w:cs="Times New Roman"/>
          <w:lang w:val="en-US"/>
        </w:rPr>
        <w:t>Farkhod</w:t>
      </w:r>
      <w:proofErr w:type="spellEnd"/>
      <w:r w:rsidRPr="00FD52CA">
        <w:rPr>
          <w:rFonts w:ascii="Cambria" w:hAnsi="Cambria" w:cs="Times New Roman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lang w:val="en-US"/>
        </w:rPr>
        <w:t>Aminjonov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proofErr w:type="spellStart"/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a,b</w:t>
      </w:r>
      <w:proofErr w:type="spellEnd"/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,</w:t>
      </w:r>
      <w:r w:rsidRPr="00FD52CA">
        <w:rPr>
          <w:rFonts w:ascii="Cambria" w:hAnsi="Cambria" w:cs="Times New Roman"/>
          <w:color w:val="0070C0"/>
          <w:position w:val="2"/>
          <w:vertAlign w:val="superscript"/>
          <w:lang w:val="en-US"/>
        </w:rPr>
        <w:t>*</w:t>
      </w:r>
      <w:r w:rsidRPr="00FD52CA">
        <w:rPr>
          <w:rFonts w:ascii="Cambria" w:hAnsi="Cambria" w:cs="Times New Roman"/>
          <w:lang w:val="en-US"/>
        </w:rPr>
        <w:t xml:space="preserve"> Alina </w:t>
      </w:r>
      <w:proofErr w:type="spellStart"/>
      <w:r w:rsidRPr="00FD52CA">
        <w:rPr>
          <w:rFonts w:ascii="Cambria" w:hAnsi="Cambria" w:cs="Times New Roman"/>
          <w:lang w:val="en-US"/>
        </w:rPr>
        <w:t>Abylkasymova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 w:rsidR="001E5F4D">
        <w:rPr>
          <w:rFonts w:ascii="Cambria" w:hAnsi="Cambria" w:cs="Times New Roman"/>
          <w:color w:val="0070C0"/>
          <w:position w:val="4"/>
          <w:vertAlign w:val="superscript"/>
          <w:lang w:val="en-US"/>
        </w:rPr>
        <w:t xml:space="preserve"> </w:t>
      </w:r>
      <w:r w:rsidR="001E5F4D" w:rsidRPr="00A436B0">
        <w:rPr>
          <w:rFonts w:ascii="Cambria" w:hAnsi="Cambria" w:cs="Times New Roman"/>
          <w:lang w:val="en-US"/>
        </w:rPr>
        <w:t xml:space="preserve">Anna </w:t>
      </w:r>
      <w:proofErr w:type="spellStart"/>
      <w:r w:rsidR="001E5F4D" w:rsidRPr="00A436B0">
        <w:rPr>
          <w:rFonts w:ascii="Cambria" w:hAnsi="Cambria" w:cs="Times New Roman"/>
          <w:lang w:val="en-US"/>
        </w:rPr>
        <w:t>Aim</w:t>
      </w:r>
      <w:r w:rsidR="001E5F4D" w:rsidRPr="00A436B0">
        <w:rPr>
          <w:rFonts w:ascii="Cambria" w:hAnsi="Cambria" w:cs="Times New Roman" w:hint="eastAsia"/>
          <w:lang w:val="en-US"/>
        </w:rPr>
        <w:t>é</w:t>
      </w:r>
      <w:r w:rsidR="001E5F4D" w:rsidRPr="00A436B0">
        <w:rPr>
          <w:rFonts w:ascii="Cambria" w:hAnsi="Cambria" w:cs="Times New Roman"/>
          <w:lang w:val="en-US"/>
        </w:rPr>
        <w:t>e</w:t>
      </w:r>
      <w:proofErr w:type="spellEnd"/>
      <w:r w:rsidR="001E5F4D">
        <w:rPr>
          <w:rFonts w:ascii="Cambria" w:hAnsi="Cambria" w:cs="Times New Roman"/>
          <w:lang w:val="en-US"/>
        </w:rPr>
        <w:t>,</w:t>
      </w:r>
      <w:r w:rsidR="001E5F4D"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 w:rsidRPr="00FD52CA">
        <w:rPr>
          <w:rFonts w:ascii="Cambria" w:hAnsi="Cambria" w:cs="Times New Roman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lang w:val="en-US"/>
        </w:rPr>
        <w:t>Bahtiyor</w:t>
      </w:r>
      <w:proofErr w:type="spellEnd"/>
      <w:r w:rsidRPr="00FD52CA">
        <w:rPr>
          <w:rFonts w:ascii="Cambria" w:hAnsi="Cambria" w:cs="Times New Roman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lang w:val="en-US"/>
        </w:rPr>
        <w:t>Eshchanov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proofErr w:type="spellStart"/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b,c</w:t>
      </w:r>
      <w:proofErr w:type="spellEnd"/>
      <w:r w:rsidRPr="00FD52CA">
        <w:rPr>
          <w:rFonts w:ascii="Cambria" w:hAnsi="Cambria" w:cs="Times New Roman"/>
          <w:lang w:val="en-US"/>
        </w:rPr>
        <w:t xml:space="preserve"> Dani</w:t>
      </w:r>
      <w:r>
        <w:rPr>
          <w:rFonts w:ascii="Cambria" w:hAnsi="Cambria" w:cs="Times New Roman"/>
          <w:lang w:val="en-US"/>
        </w:rPr>
        <w:t>y</w:t>
      </w:r>
      <w:r w:rsidRPr="00FD52CA">
        <w:rPr>
          <w:rFonts w:ascii="Cambria" w:hAnsi="Cambria" w:cs="Times New Roman"/>
          <w:lang w:val="en-US"/>
        </w:rPr>
        <w:t xml:space="preserve">ar </w:t>
      </w:r>
      <w:proofErr w:type="spellStart"/>
      <w:r w:rsidRPr="00FD52CA">
        <w:rPr>
          <w:rFonts w:ascii="Cambria" w:hAnsi="Cambria" w:cs="Times New Roman"/>
          <w:lang w:val="en-US"/>
        </w:rPr>
        <w:t>Moldokanov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 w:rsidRPr="00FD52CA">
        <w:rPr>
          <w:rFonts w:ascii="Cambria" w:hAnsi="Cambria" w:cs="Times New Roman"/>
          <w:lang w:val="en-US"/>
        </w:rPr>
        <w:t xml:space="preserve"> Indra Overland,</w:t>
      </w:r>
      <w:proofErr w:type="spellStart"/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,d</w:t>
      </w:r>
      <w:proofErr w:type="spellEnd"/>
      <w:r w:rsidRPr="00FD52CA">
        <w:rPr>
          <w:rFonts w:ascii="Cambria" w:hAnsi="Cambria" w:cs="Times New Roman"/>
          <w:lang w:val="en-US"/>
        </w:rPr>
        <w:t xml:space="preserve"> Roman Vakulchuk</w:t>
      </w:r>
      <w:r w:rsidRPr="00FD52CA">
        <w:rPr>
          <w:rFonts w:ascii="Cambria" w:hAnsi="Cambria" w:cs="Times New Roman"/>
          <w:position w:val="4"/>
          <w:vertAlign w:val="superscript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,d</w:t>
      </w:r>
      <w:proofErr w:type="spellEnd"/>
    </w:p>
    <w:p w14:paraId="6F7BD6C0" w14:textId="339002DC" w:rsidR="00FF6EC2" w:rsidRPr="00FD52CA" w:rsidRDefault="00E80F39" w:rsidP="00FF6EC2">
      <w:pPr>
        <w:pStyle w:val="Default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 xml:space="preserve"> </w:t>
      </w:r>
    </w:p>
    <w:p w14:paraId="7CEA6E38" w14:textId="77777777" w:rsidR="00FF6EC2" w:rsidRPr="00D84B96" w:rsidRDefault="00FF6EC2" w:rsidP="00FF6EC2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>
        <w:rPr>
          <w:rFonts w:ascii="Cambria" w:hAnsi="Cambria" w:cs="Times New Roman"/>
          <w:color w:val="0070C0"/>
          <w:vertAlign w:val="superscript"/>
          <w:lang w:val="en-US"/>
        </w:rPr>
        <w:t>a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College of Humanities and Social Sciences, Zayed University</w:t>
      </w:r>
    </w:p>
    <w:p w14:paraId="48935EE4" w14:textId="397774A7" w:rsidR="00FF6EC2" w:rsidRPr="00FD52CA" w:rsidRDefault="00FF6EC2" w:rsidP="00FF6EC2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 w:rsidRPr="00FD52CA">
        <w:rPr>
          <w:rFonts w:ascii="Cambria" w:hAnsi="Cambria" w:cs="Times New Roman"/>
          <w:color w:val="0070C0"/>
          <w:vertAlign w:val="superscript"/>
          <w:lang w:val="en-US"/>
        </w:rPr>
        <w:t>b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</w:t>
      </w:r>
      <w:r>
        <w:rPr>
          <w:rFonts w:ascii="Cambria" w:hAnsi="Cambria" w:cs="Times New Roman"/>
          <w:i/>
          <w:sz w:val="18"/>
          <w:szCs w:val="18"/>
          <w:lang w:val="en-US"/>
        </w:rPr>
        <w:t>Central Asia Data</w:t>
      </w:r>
      <w:r w:rsidR="00B73201">
        <w:rPr>
          <w:rFonts w:ascii="Cambria" w:hAnsi="Cambria" w:cs="Times New Roman"/>
          <w:i/>
          <w:sz w:val="18"/>
          <w:szCs w:val="18"/>
          <w:lang w:val="en-US"/>
        </w:rPr>
        <w:t>-</w:t>
      </w:r>
      <w:r>
        <w:rPr>
          <w:rFonts w:ascii="Cambria" w:hAnsi="Cambria" w:cs="Times New Roman"/>
          <w:i/>
          <w:sz w:val="18"/>
          <w:szCs w:val="18"/>
          <w:lang w:val="en-US"/>
        </w:rPr>
        <w:t>Gathering and Analysis Team (CADGAT)</w:t>
      </w:r>
    </w:p>
    <w:p w14:paraId="58AC371B" w14:textId="77777777" w:rsidR="00FF6EC2" w:rsidRPr="00FD52CA" w:rsidRDefault="00FF6EC2" w:rsidP="00FF6EC2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>
        <w:rPr>
          <w:rFonts w:ascii="Cambria" w:hAnsi="Cambria" w:cs="Times New Roman"/>
          <w:color w:val="0070C0"/>
          <w:vertAlign w:val="superscript"/>
          <w:lang w:val="en-US"/>
        </w:rPr>
        <w:t>c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Westminster International University in Tashkent</w:t>
      </w:r>
    </w:p>
    <w:p w14:paraId="61CADE53" w14:textId="77777777" w:rsidR="00FF6EC2" w:rsidRPr="00FD52CA" w:rsidRDefault="00FF6EC2" w:rsidP="00FF6EC2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>
        <w:rPr>
          <w:rFonts w:ascii="Cambria" w:hAnsi="Cambria" w:cs="Times New Roman"/>
          <w:color w:val="0070C0"/>
          <w:vertAlign w:val="superscript"/>
          <w:lang w:val="en-US"/>
        </w:rPr>
        <w:t>d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Norwegian Institute of International Affairs (NUPI)</w:t>
      </w:r>
    </w:p>
    <w:p w14:paraId="3EBFF5FC" w14:textId="1BE1586F" w:rsidR="00FF6EC2" w:rsidRDefault="00FF6EC2" w:rsidP="00FF6EC2">
      <w:pPr>
        <w:pStyle w:val="Default"/>
        <w:rPr>
          <w:rFonts w:ascii="Cambria" w:hAnsi="Cambria" w:cs="Times New Roman"/>
          <w:i/>
          <w:sz w:val="18"/>
          <w:szCs w:val="18"/>
          <w:lang w:val="en-US"/>
        </w:rPr>
      </w:pPr>
      <w:r w:rsidRPr="00FD52CA">
        <w:rPr>
          <w:rFonts w:ascii="Cambria" w:hAnsi="Cambria" w:cs="Times New Roman"/>
          <w:color w:val="0070C0"/>
          <w:vertAlign w:val="superscript"/>
          <w:lang w:val="en-US"/>
        </w:rPr>
        <w:t>*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Corresponding author: </w:t>
      </w:r>
      <w:r>
        <w:rPr>
          <w:rFonts w:ascii="Cambria" w:hAnsi="Cambria" w:cs="Times New Roman"/>
          <w:i/>
          <w:sz w:val="18"/>
          <w:szCs w:val="18"/>
          <w:lang w:val="en-US"/>
        </w:rPr>
        <w:t xml:space="preserve">F. </w:t>
      </w:r>
      <w:proofErr w:type="spellStart"/>
      <w:r>
        <w:rPr>
          <w:rFonts w:ascii="Cambria" w:hAnsi="Cambria" w:cs="Times New Roman"/>
          <w:i/>
          <w:sz w:val="18"/>
          <w:szCs w:val="18"/>
          <w:lang w:val="en-US"/>
        </w:rPr>
        <w:t>Aminjonov</w:t>
      </w:r>
      <w:proofErr w:type="spellEnd"/>
      <w:r w:rsidR="00B73201">
        <w:rPr>
          <w:rFonts w:ascii="Cambria" w:hAnsi="Cambria" w:cs="Times New Roman"/>
          <w:i/>
          <w:sz w:val="18"/>
          <w:szCs w:val="18"/>
          <w:lang w:val="en-US"/>
        </w:rPr>
        <w:t>;</w:t>
      </w:r>
      <w:r w:rsidR="00B73201" w:rsidRPr="00B73201">
        <w:rPr>
          <w:rFonts w:ascii="Cambria" w:hAnsi="Cambria" w:cs="Times New Roman"/>
          <w:i/>
          <w:sz w:val="18"/>
          <w:szCs w:val="18"/>
          <w:lang w:val="en-US"/>
        </w:rPr>
        <w:t xml:space="preserve"> Email address:</w:t>
      </w:r>
      <w:r w:rsidR="00B73201" w:rsidRPr="00B73201">
        <w:rPr>
          <w:lang w:val="en-US"/>
        </w:rPr>
        <w:t xml:space="preserve"> </w:t>
      </w:r>
      <w:r w:rsidR="00B73201" w:rsidRPr="00B73201">
        <w:rPr>
          <w:rFonts w:ascii="Cambria" w:hAnsi="Cambria" w:cs="Times New Roman"/>
          <w:i/>
          <w:sz w:val="18"/>
          <w:szCs w:val="18"/>
          <w:lang w:val="en-US"/>
        </w:rPr>
        <w:t>farkhod.aminjonov@zu.ac.ae; a_farkhod@yahoo.com</w:t>
      </w:r>
    </w:p>
    <w:p w14:paraId="0AF42128" w14:textId="77777777" w:rsidR="00467AA4" w:rsidRPr="001539E0" w:rsidRDefault="00467AA4" w:rsidP="0032786F">
      <w:pPr>
        <w:pStyle w:val="Default"/>
        <w:rPr>
          <w:rFonts w:ascii="Cambria" w:hAnsi="Cambria" w:cs="Times New Roman"/>
          <w:i/>
          <w:sz w:val="18"/>
          <w:szCs w:val="18"/>
          <w:lang w:val="en-US"/>
        </w:rPr>
      </w:pPr>
    </w:p>
    <w:p w14:paraId="56D7B51B" w14:textId="60681C05" w:rsidR="008E4944" w:rsidRPr="001539E0" w:rsidRDefault="008E4944" w:rsidP="00973B36">
      <w:pPr>
        <w:pStyle w:val="Default"/>
        <w:rPr>
          <w:rFonts w:ascii="Cambria" w:hAnsi="Cambria" w:cs="Times New Roman"/>
          <w:sz w:val="32"/>
          <w:lang w:val="en-US"/>
        </w:rPr>
      </w:pPr>
      <w:r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316A7" wp14:editId="4BE51BFE">
                <wp:simplePos x="0" y="0"/>
                <wp:positionH relativeFrom="column">
                  <wp:posOffset>1270</wp:posOffset>
                </wp:positionH>
                <wp:positionV relativeFrom="paragraph">
                  <wp:posOffset>57509</wp:posOffset>
                </wp:positionV>
                <wp:extent cx="5773420" cy="0"/>
                <wp:effectExtent l="0" t="0" r="177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8991A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4.55pt" to="45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" strokecolor="black [3040]" strokeweight=".25pt"/>
            </w:pict>
          </mc:Fallback>
        </mc:AlternateContent>
      </w:r>
    </w:p>
    <w:p w14:paraId="6E4D7413" w14:textId="797408D3" w:rsidR="008E4944" w:rsidRPr="001539E0" w:rsidRDefault="008E4944" w:rsidP="00973B36">
      <w:pPr>
        <w:pStyle w:val="Default"/>
        <w:rPr>
          <w:rFonts w:ascii="Cambria" w:hAnsi="Cambria" w:cs="Times New Roman"/>
          <w:sz w:val="20"/>
          <w:szCs w:val="20"/>
          <w:lang w:val="en-US"/>
        </w:rPr>
      </w:pPr>
      <w:r w:rsidRPr="001539E0">
        <w:rPr>
          <w:rFonts w:ascii="Cambria" w:hAnsi="Cambria" w:cs="Times New Roman"/>
          <w:sz w:val="20"/>
          <w:szCs w:val="20"/>
          <w:lang w:val="en-US"/>
        </w:rPr>
        <w:t>A B S T R A C T</w:t>
      </w:r>
    </w:p>
    <w:p w14:paraId="65DF5D92" w14:textId="77777777" w:rsidR="00232327" w:rsidRPr="00205DE1" w:rsidRDefault="00232327" w:rsidP="00973B36">
      <w:pPr>
        <w:pStyle w:val="Default"/>
        <w:rPr>
          <w:rFonts w:ascii="Cambria" w:hAnsi="Cambria" w:cs="Times New Roman"/>
          <w:sz w:val="20"/>
          <w:szCs w:val="20"/>
          <w:lang w:val="en-US"/>
        </w:rPr>
      </w:pPr>
    </w:p>
    <w:p w14:paraId="2E5DF727" w14:textId="0DBA09D0" w:rsidR="00232327" w:rsidRPr="00205DE1" w:rsidRDefault="00E62FC6" w:rsidP="00594114">
      <w:pPr>
        <w:spacing w:line="240" w:lineRule="auto"/>
        <w:rPr>
          <w:rFonts w:ascii="Cambria" w:hAnsi="Cambria"/>
          <w:sz w:val="20"/>
          <w:szCs w:val="20"/>
          <w:lang w:val="en-US"/>
        </w:rPr>
      </w:pPr>
      <w:r w:rsidRPr="00205DE1">
        <w:rPr>
          <w:rFonts w:ascii="Cambria" w:hAnsi="Cambria" w:cs="Times New Roman"/>
          <w:sz w:val="20"/>
          <w:szCs w:val="20"/>
          <w:lang w:val="en-US"/>
        </w:rPr>
        <w:t xml:space="preserve">This data article </w:t>
      </w:r>
      <w:proofErr w:type="spellStart"/>
      <w:r w:rsidR="00A31227" w:rsidRPr="00205DE1">
        <w:rPr>
          <w:rFonts w:ascii="Cambria" w:hAnsi="Cambria" w:cs="Times New Roman"/>
          <w:sz w:val="20"/>
          <w:szCs w:val="20"/>
          <w:lang w:val="en-US"/>
        </w:rPr>
        <w:t>summarises</w:t>
      </w:r>
      <w:proofErr w:type="spellEnd"/>
      <w:r w:rsidR="00A31227" w:rsidRPr="00205DE1">
        <w:rPr>
          <w:rFonts w:ascii="Cambria" w:hAnsi="Cambria" w:cs="Times New Roman"/>
          <w:sz w:val="20"/>
          <w:szCs w:val="20"/>
          <w:lang w:val="en-US"/>
        </w:rPr>
        <w:t xml:space="preserve"> the </w:t>
      </w:r>
      <w:r w:rsidR="008C5A02" w:rsidRPr="00205DE1">
        <w:rPr>
          <w:rFonts w:ascii="Cambria" w:hAnsi="Cambria" w:cs="Times New Roman"/>
          <w:sz w:val="20"/>
          <w:szCs w:val="20"/>
          <w:lang w:val="en-US"/>
        </w:rPr>
        <w:t>analysis of</w:t>
      </w:r>
      <w:r w:rsidR="00A31227" w:rsidRPr="00205DE1">
        <w:rPr>
          <w:rFonts w:ascii="Cambria" w:hAnsi="Cambria" w:cs="Times New Roman"/>
          <w:sz w:val="20"/>
          <w:szCs w:val="20"/>
          <w:lang w:val="en-US"/>
        </w:rPr>
        <w:t xml:space="preserve"> 26</w:t>
      </w:r>
      <w:r w:rsidR="001B3656" w:rsidRPr="00205DE1">
        <w:rPr>
          <w:rFonts w:ascii="Cambria" w:hAnsi="Cambria" w:cs="Times New Roman"/>
          <w:sz w:val="20"/>
          <w:szCs w:val="20"/>
          <w:lang w:val="en-US"/>
        </w:rPr>
        <w:t>1</w:t>
      </w:r>
      <w:r w:rsidR="00A31227" w:rsidRPr="00205DE1">
        <w:rPr>
          <w:rFonts w:ascii="Cambria" w:hAnsi="Cambria" w:cs="Times New Roman"/>
          <w:sz w:val="20"/>
          <w:szCs w:val="20"/>
          <w:lang w:val="en-US"/>
        </w:rPr>
        <w:t xml:space="preserve"> Chinese projects in Central Asia. The findings </w:t>
      </w:r>
      <w:r w:rsidR="00F34304" w:rsidRPr="00205DE1">
        <w:rPr>
          <w:rFonts w:ascii="Cambria" w:hAnsi="Cambria" w:cs="Times New Roman"/>
          <w:sz w:val="20"/>
          <w:szCs w:val="20"/>
          <w:lang w:val="en-US"/>
        </w:rPr>
        <w:t xml:space="preserve">indicate </w:t>
      </w:r>
      <w:r w:rsidR="00555870" w:rsidRPr="00205DE1">
        <w:rPr>
          <w:rFonts w:ascii="Cambria" w:hAnsi="Cambria" w:cs="Times New Roman"/>
          <w:sz w:val="20"/>
          <w:szCs w:val="20"/>
          <w:lang w:val="en-US"/>
        </w:rPr>
        <w:t>that trade promotion and industrial d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evelopment </w:t>
      </w:r>
      <w:r w:rsidRPr="00205DE1">
        <w:rPr>
          <w:rFonts w:ascii="Cambria" w:hAnsi="Cambria" w:cs="Times New Roman"/>
          <w:sz w:val="20"/>
          <w:szCs w:val="20"/>
          <w:lang w:val="en-US"/>
        </w:rPr>
        <w:t>are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 the </w:t>
      </w:r>
      <w:r w:rsidRPr="00205DE1">
        <w:rPr>
          <w:rFonts w:ascii="Cambria" w:hAnsi="Cambria" w:cs="Times New Roman"/>
          <w:sz w:val="20"/>
          <w:szCs w:val="20"/>
          <w:lang w:val="en-US"/>
        </w:rPr>
        <w:t xml:space="preserve">sectors </w:t>
      </w:r>
      <w:r w:rsidR="00F34304" w:rsidRPr="00205DE1">
        <w:rPr>
          <w:rFonts w:ascii="Cambria" w:hAnsi="Cambria" w:cs="Times New Roman"/>
          <w:sz w:val="20"/>
          <w:szCs w:val="20"/>
          <w:lang w:val="en-US"/>
        </w:rPr>
        <w:t xml:space="preserve">where there is </w:t>
      </w:r>
      <w:r w:rsidRPr="00205DE1">
        <w:rPr>
          <w:rFonts w:ascii="Cambria" w:hAnsi="Cambria" w:cs="Times New Roman"/>
          <w:sz w:val="20"/>
          <w:szCs w:val="20"/>
          <w:lang w:val="en-US"/>
        </w:rPr>
        <w:t xml:space="preserve">most 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>BRI</w:t>
      </w:r>
      <w:r w:rsidRPr="00205DE1">
        <w:rPr>
          <w:rFonts w:ascii="Cambria" w:hAnsi="Cambria" w:cs="Times New Roman"/>
          <w:sz w:val="20"/>
          <w:szCs w:val="20"/>
          <w:lang w:val="en-US"/>
        </w:rPr>
        <w:t>-related activity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 in Central Asia.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 The total number of projects in th</w:t>
      </w:r>
      <w:r w:rsidRPr="00205DE1">
        <w:rPr>
          <w:rFonts w:ascii="Cambria" w:hAnsi="Cambria" w:cs="Times New Roman"/>
          <w:sz w:val="20"/>
          <w:szCs w:val="20"/>
          <w:lang w:val="en-US"/>
        </w:rPr>
        <w:t>ese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205DE1">
        <w:rPr>
          <w:rFonts w:ascii="Cambria" w:hAnsi="Cambria" w:cs="Times New Roman"/>
          <w:sz w:val="20"/>
          <w:szCs w:val="20"/>
          <w:lang w:val="en-US"/>
        </w:rPr>
        <w:t xml:space="preserve">areas </w:t>
      </w:r>
      <w:r w:rsidR="0019390B" w:rsidRPr="00205DE1">
        <w:rPr>
          <w:rFonts w:ascii="Cambria" w:hAnsi="Cambria" w:cs="Times New Roman"/>
          <w:sz w:val="20"/>
          <w:szCs w:val="20"/>
          <w:lang w:val="en-US"/>
        </w:rPr>
        <w:t>approximates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 the number of projects in all other areas combined.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>Th</w:t>
      </w:r>
      <w:r w:rsidRPr="00205DE1">
        <w:rPr>
          <w:rFonts w:ascii="Cambria" w:hAnsi="Cambria" w:cs="Times New Roman"/>
          <w:sz w:val="20"/>
          <w:szCs w:val="20"/>
          <w:lang w:val="en-US"/>
        </w:rPr>
        <w:t>ese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="001539E0" w:rsidRPr="00205DE1">
        <w:rPr>
          <w:rFonts w:ascii="Cambria" w:hAnsi="Cambria" w:cs="Times New Roman"/>
          <w:sz w:val="20"/>
          <w:szCs w:val="20"/>
          <w:lang w:val="en-US"/>
        </w:rPr>
        <w:t>sectors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 also </w:t>
      </w:r>
      <w:r w:rsidR="00F34304" w:rsidRPr="00205DE1">
        <w:rPr>
          <w:rFonts w:ascii="Cambria" w:hAnsi="Cambria" w:cs="Times New Roman"/>
          <w:sz w:val="20"/>
          <w:szCs w:val="20"/>
          <w:lang w:val="en-US"/>
        </w:rPr>
        <w:t xml:space="preserve">receive most 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investment. </w:t>
      </w:r>
      <w:r w:rsidR="001539E0" w:rsidRPr="00205DE1">
        <w:rPr>
          <w:rFonts w:ascii="Cambria" w:hAnsi="Cambria" w:cs="Times New Roman"/>
          <w:sz w:val="20"/>
          <w:szCs w:val="20"/>
          <w:lang w:val="en-US"/>
        </w:rPr>
        <w:t>In terms of the number of implemented projects, r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>oad</w:t>
      </w:r>
      <w:r w:rsidR="00F34304" w:rsidRPr="00205DE1">
        <w:rPr>
          <w:rFonts w:ascii="Cambria" w:hAnsi="Cambria" w:cs="Times New Roman"/>
          <w:sz w:val="20"/>
          <w:szCs w:val="20"/>
          <w:lang w:val="en-US"/>
        </w:rPr>
        <w:t>s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 is the second key </w:t>
      </w:r>
      <w:r w:rsidR="001539E0" w:rsidRPr="00205DE1">
        <w:rPr>
          <w:rFonts w:ascii="Cambria" w:hAnsi="Cambria" w:cs="Times New Roman"/>
          <w:sz w:val="20"/>
          <w:szCs w:val="20"/>
          <w:lang w:val="en-US"/>
        </w:rPr>
        <w:t>sector</w:t>
      </w:r>
      <w:r w:rsidR="00E76036" w:rsidRPr="00205DE1">
        <w:rPr>
          <w:rFonts w:ascii="Cambria" w:hAnsi="Cambria" w:cs="Times New Roman"/>
          <w:sz w:val="20"/>
          <w:szCs w:val="20"/>
          <w:lang w:val="en-US"/>
        </w:rPr>
        <w:t>, followed by energy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. </w:t>
      </w:r>
      <w:r w:rsidR="001539E0" w:rsidRPr="00205DE1">
        <w:rPr>
          <w:rFonts w:ascii="Cambria" w:hAnsi="Cambria" w:cs="Times New Roman"/>
          <w:sz w:val="20"/>
          <w:szCs w:val="20"/>
          <w:lang w:val="en-US"/>
        </w:rPr>
        <w:t>However</w:t>
      </w:r>
      <w:r w:rsidRPr="00205DE1">
        <w:rPr>
          <w:rFonts w:ascii="Cambria" w:hAnsi="Cambria" w:cs="Times New Roman"/>
          <w:sz w:val="20"/>
          <w:szCs w:val="20"/>
          <w:lang w:val="en-US"/>
        </w:rPr>
        <w:t>, due to larger project sizes,</w:t>
      </w:r>
      <w:r w:rsidR="00E76036" w:rsidRPr="00205DE1">
        <w:rPr>
          <w:rFonts w:ascii="Cambria" w:hAnsi="Cambria" w:cs="Times New Roman"/>
          <w:sz w:val="20"/>
          <w:szCs w:val="20"/>
          <w:lang w:val="en-US"/>
        </w:rPr>
        <w:t xml:space="preserve"> energy 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>receives</w:t>
      </w:r>
      <w:r w:rsidR="00E76036" w:rsidRPr="00205DE1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205DE1">
        <w:rPr>
          <w:rFonts w:ascii="Cambria" w:hAnsi="Cambria" w:cs="Times New Roman"/>
          <w:sz w:val="20"/>
          <w:szCs w:val="20"/>
          <w:lang w:val="en-US"/>
        </w:rPr>
        <w:t xml:space="preserve">more </w:t>
      </w:r>
      <w:r w:rsidR="00E76036" w:rsidRPr="00205DE1">
        <w:rPr>
          <w:rFonts w:ascii="Cambria" w:hAnsi="Cambria" w:cs="Times New Roman"/>
          <w:sz w:val="20"/>
          <w:szCs w:val="20"/>
          <w:lang w:val="en-US"/>
        </w:rPr>
        <w:t>funds than road</w:t>
      </w:r>
      <w:r w:rsidR="00F34304" w:rsidRPr="00205DE1">
        <w:rPr>
          <w:rFonts w:ascii="Cambria" w:hAnsi="Cambria" w:cs="Times New Roman"/>
          <w:sz w:val="20"/>
          <w:szCs w:val="20"/>
          <w:lang w:val="en-US"/>
        </w:rPr>
        <w:t>s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>.</w:t>
      </w:r>
      <w:r w:rsidR="00A31227" w:rsidRPr="00205DE1">
        <w:rPr>
          <w:rFonts w:ascii="Cambria" w:hAnsi="Cambria" w:cs="Times New Roman"/>
          <w:sz w:val="20"/>
          <w:szCs w:val="20"/>
          <w:lang w:val="en-US"/>
        </w:rPr>
        <w:t xml:space="preserve"> The majority of Chinese projects in Central Asia are bilateral</w:t>
      </w:r>
      <w:r w:rsidR="00F36E48" w:rsidRPr="00205DE1">
        <w:rPr>
          <w:rFonts w:ascii="Cambria" w:hAnsi="Cambria" w:cs="Times New Roman"/>
          <w:sz w:val="20"/>
          <w:szCs w:val="20"/>
          <w:lang w:val="en-US"/>
        </w:rPr>
        <w:t>.</w:t>
      </w:r>
    </w:p>
    <w:p w14:paraId="42233FA9" w14:textId="7AF83178" w:rsidR="002144BB" w:rsidRPr="00205DE1" w:rsidRDefault="002144BB" w:rsidP="00973B36">
      <w:pPr>
        <w:pStyle w:val="Default"/>
        <w:rPr>
          <w:rFonts w:ascii="Cambria" w:hAnsi="Cambria" w:cs="Times New Roman"/>
          <w:sz w:val="20"/>
          <w:szCs w:val="20"/>
          <w:lang w:val="en-US"/>
        </w:rPr>
      </w:pPr>
    </w:p>
    <w:p w14:paraId="1BF6AD5D" w14:textId="03A792B4" w:rsidR="00467AA4" w:rsidRPr="00205DE1" w:rsidRDefault="00973B36" w:rsidP="00232327">
      <w:pPr>
        <w:pStyle w:val="Default"/>
        <w:rPr>
          <w:rFonts w:ascii="Cambria" w:hAnsi="Cambria" w:cs="Times New Roman"/>
          <w:sz w:val="20"/>
          <w:szCs w:val="20"/>
          <w:lang w:val="en-US"/>
        </w:rPr>
      </w:pPr>
      <w:r w:rsidRPr="00205DE1">
        <w:rPr>
          <w:rFonts w:ascii="Cambria" w:hAnsi="Cambria" w:cs="Times New Roman"/>
          <w:i/>
          <w:sz w:val="20"/>
          <w:szCs w:val="20"/>
          <w:lang w:val="en-US"/>
        </w:rPr>
        <w:t>Keywords:</w:t>
      </w:r>
      <w:r w:rsidRPr="00205DE1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="00E471A8" w:rsidRPr="00205DE1">
        <w:rPr>
          <w:rFonts w:ascii="Cambria" w:hAnsi="Cambria" w:cs="Times New Roman"/>
          <w:sz w:val="20"/>
          <w:szCs w:val="20"/>
          <w:lang w:val="en-US"/>
        </w:rPr>
        <w:t xml:space="preserve">BRI, China, </w:t>
      </w:r>
      <w:r w:rsidRPr="00205DE1">
        <w:rPr>
          <w:rFonts w:ascii="Cambria" w:hAnsi="Cambria" w:cs="Times New Roman"/>
          <w:sz w:val="20"/>
          <w:szCs w:val="20"/>
          <w:lang w:val="en-US"/>
        </w:rPr>
        <w:t>Central Asia, Kazakhstan, Kyrgyzstan, Tajikistan, Turkmenistan, Uzbekistan</w:t>
      </w:r>
    </w:p>
    <w:p w14:paraId="347899EE" w14:textId="77777777" w:rsidR="00E62FC6" w:rsidRPr="001539E0" w:rsidRDefault="00E62FC6" w:rsidP="00E62FC6">
      <w:pPr>
        <w:pStyle w:val="Default"/>
        <w:rPr>
          <w:rFonts w:ascii="Cambria" w:hAnsi="Cambria" w:cs="Times New Roman"/>
          <w:sz w:val="32"/>
          <w:lang w:val="en-US"/>
        </w:rPr>
      </w:pPr>
      <w:r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60260" wp14:editId="279CA551">
                <wp:simplePos x="0" y="0"/>
                <wp:positionH relativeFrom="column">
                  <wp:posOffset>12032</wp:posOffset>
                </wp:positionH>
                <wp:positionV relativeFrom="paragraph">
                  <wp:posOffset>32686</wp:posOffset>
                </wp:positionV>
                <wp:extent cx="5773420" cy="0"/>
                <wp:effectExtent l="0" t="0" r="1778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615B6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.55pt" to="455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" strokecolor="black [3040]" strokeweight=".25pt"/>
            </w:pict>
          </mc:Fallback>
        </mc:AlternateContent>
      </w:r>
    </w:p>
    <w:p w14:paraId="327510D1" w14:textId="77777777" w:rsidR="00F857D7" w:rsidRPr="001539E0" w:rsidRDefault="00F857D7" w:rsidP="00232327">
      <w:pPr>
        <w:pStyle w:val="Default"/>
        <w:rPr>
          <w:rFonts w:ascii="Cambria" w:hAnsi="Cambria" w:cs="Times New Roman"/>
          <w:sz w:val="18"/>
          <w:szCs w:val="18"/>
          <w:lang w:val="en-US"/>
        </w:rPr>
        <w:sectPr w:rsidR="00F857D7" w:rsidRPr="001539E0" w:rsidSect="00A47F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52279C90" w14:textId="4C35DBDC" w:rsidR="0078025C" w:rsidRDefault="0082484B" w:rsidP="00E24A66">
      <w:pPr>
        <w:pStyle w:val="Heading2"/>
        <w:numPr>
          <w:ilvl w:val="0"/>
          <w:numId w:val="0"/>
        </w:numPr>
        <w:spacing w:before="0" w:line="240" w:lineRule="auto"/>
        <w:rPr>
          <w:sz w:val="22"/>
          <w:szCs w:val="22"/>
          <w:lang w:val="en-US"/>
        </w:rPr>
      </w:pPr>
      <w:r w:rsidRPr="00E24A66">
        <w:rPr>
          <w:sz w:val="22"/>
          <w:szCs w:val="22"/>
          <w:lang w:val="en-US"/>
        </w:rPr>
        <w:t>Background</w:t>
      </w:r>
    </w:p>
    <w:p w14:paraId="06A6D2CF" w14:textId="04F430AC" w:rsidR="0001367C" w:rsidRDefault="006D5BF0" w:rsidP="00B531B6">
      <w:pPr>
        <w:spacing w:line="240" w:lineRule="auto"/>
        <w:rPr>
          <w:rFonts w:ascii="Cambria" w:hAnsi="Cambria" w:cs="Times New Roman"/>
          <w:lang w:val="en-US"/>
        </w:rPr>
      </w:pPr>
      <w:r w:rsidRPr="006D5BF0">
        <w:rPr>
          <w:rFonts w:ascii="Cambria" w:hAnsi="Cambria" w:cs="Times New Roman"/>
          <w:lang w:val="en-US"/>
        </w:rPr>
        <w:t>China</w:t>
      </w:r>
      <w:r>
        <w:rPr>
          <w:rFonts w:ascii="Cambria" w:hAnsi="Cambria" w:cs="Times New Roman"/>
          <w:lang w:val="en-US"/>
        </w:rPr>
        <w:t>’</w:t>
      </w:r>
      <w:r w:rsidRPr="006D5BF0">
        <w:rPr>
          <w:rFonts w:ascii="Cambria" w:hAnsi="Cambria" w:cs="Times New Roman"/>
          <w:lang w:val="en-US"/>
        </w:rPr>
        <w:t>s main strategic document devoted to BRI is</w:t>
      </w:r>
      <w:r w:rsidR="00E471A8" w:rsidRPr="00E24A66">
        <w:rPr>
          <w:rFonts w:ascii="Cambria" w:hAnsi="Cambria" w:cs="Times New Roman"/>
          <w:lang w:val="en-US"/>
        </w:rPr>
        <w:t xml:space="preserve"> “Vision and Acti</w:t>
      </w:r>
      <w:bookmarkStart w:id="0" w:name="_GoBack"/>
      <w:bookmarkEnd w:id="0"/>
      <w:r w:rsidR="00E471A8" w:rsidRPr="00E24A66">
        <w:rPr>
          <w:rFonts w:ascii="Cambria" w:hAnsi="Cambria" w:cs="Times New Roman"/>
          <w:lang w:val="en-US"/>
        </w:rPr>
        <w:t xml:space="preserve">ons on Jointly Building </w:t>
      </w:r>
      <w:r w:rsidR="001539E0" w:rsidRPr="00E24A66">
        <w:rPr>
          <w:rFonts w:ascii="Cambria" w:hAnsi="Cambria" w:cs="Times New Roman"/>
          <w:lang w:val="en-US"/>
        </w:rPr>
        <w:t xml:space="preserve">the </w:t>
      </w:r>
      <w:r w:rsidR="00E471A8" w:rsidRPr="00E24A66">
        <w:rPr>
          <w:rFonts w:ascii="Cambria" w:hAnsi="Cambria" w:cs="Times New Roman"/>
          <w:lang w:val="en-US"/>
        </w:rPr>
        <w:t xml:space="preserve">Silk Road Economic Belt and </w:t>
      </w:r>
      <w:r w:rsidR="001539E0" w:rsidRPr="00E24A66">
        <w:rPr>
          <w:rFonts w:ascii="Cambria" w:hAnsi="Cambria" w:cs="Times New Roman"/>
          <w:lang w:val="en-US"/>
        </w:rPr>
        <w:t xml:space="preserve">the </w:t>
      </w:r>
      <w:r w:rsidR="00E471A8" w:rsidRPr="00E24A66">
        <w:rPr>
          <w:rFonts w:ascii="Cambria" w:hAnsi="Cambria" w:cs="Times New Roman"/>
          <w:lang w:val="en-US"/>
        </w:rPr>
        <w:t>21st-Century Maritime Silk Road</w:t>
      </w:r>
      <w:r w:rsidR="001539E0" w:rsidRPr="00E24A66">
        <w:rPr>
          <w:rFonts w:ascii="Cambria" w:hAnsi="Cambria" w:cs="Times New Roman"/>
          <w:lang w:val="en-US"/>
        </w:rPr>
        <w:t>,</w:t>
      </w:r>
      <w:r w:rsidR="00E471A8" w:rsidRPr="00E24A66">
        <w:rPr>
          <w:rFonts w:ascii="Cambria" w:hAnsi="Cambria" w:cs="Times New Roman"/>
          <w:lang w:val="en-US"/>
        </w:rPr>
        <w:t xml:space="preserve">” published in March 2015. As highlighted in </w:t>
      </w:r>
      <w:r w:rsidR="00E62FC6" w:rsidRPr="00E24A66">
        <w:rPr>
          <w:rFonts w:ascii="Cambria" w:hAnsi="Cambria" w:cs="Times New Roman"/>
          <w:lang w:val="en-US"/>
        </w:rPr>
        <w:t xml:space="preserve">that </w:t>
      </w:r>
      <w:r w:rsidR="00E471A8" w:rsidRPr="00E24A66">
        <w:rPr>
          <w:rFonts w:ascii="Cambria" w:hAnsi="Cambria" w:cs="Times New Roman"/>
          <w:lang w:val="en-US"/>
        </w:rPr>
        <w:t>document</w:t>
      </w:r>
      <w:r w:rsidR="00E62FC6" w:rsidRPr="00E24A66">
        <w:rPr>
          <w:rFonts w:ascii="Cambria" w:hAnsi="Cambria" w:cs="Times New Roman"/>
          <w:lang w:val="en-US"/>
        </w:rPr>
        <w:t>,</w:t>
      </w:r>
      <w:r w:rsidR="00E471A8" w:rsidRPr="00E24A66">
        <w:rPr>
          <w:rFonts w:ascii="Cambria" w:hAnsi="Cambria" w:cs="Times New Roman"/>
          <w:lang w:val="en-US"/>
        </w:rPr>
        <w:t xml:space="preserve"> </w:t>
      </w:r>
      <w:r w:rsidR="00976E84">
        <w:rPr>
          <w:rFonts w:ascii="Cambria" w:hAnsi="Cambria" w:cs="Times New Roman"/>
          <w:lang w:val="en-US"/>
        </w:rPr>
        <w:t xml:space="preserve">BRI </w:t>
      </w:r>
      <w:r w:rsidR="00DB4C71" w:rsidRPr="00E24A66">
        <w:rPr>
          <w:rFonts w:ascii="Cambria" w:hAnsi="Cambria" w:cs="Times New Roman"/>
          <w:lang w:val="en-US"/>
        </w:rPr>
        <w:t>“is aimed at promoting the orderly and free flow of economic factors, highly efficient allocation of resources and deep integration of markets; encouraging the countries along the Belt and Road to achieve economic policy coordination and carry out broader and more in-depth regional cooperation of higher standards; and jointly creating an open, inclusive and balanced regional economic cooperation architecture that benefits all.”</w:t>
      </w:r>
      <w:r w:rsidR="00976E84">
        <w:rPr>
          <w:rStyle w:val="FootnoteReference"/>
          <w:rFonts w:ascii="Cambria" w:hAnsi="Cambria" w:cs="Times New Roman"/>
          <w:lang w:val="en-US"/>
        </w:rPr>
        <w:footnoteReference w:id="1"/>
      </w:r>
      <w:r w:rsidR="0001367C">
        <w:rPr>
          <w:rFonts w:ascii="Cambria" w:hAnsi="Cambria" w:cs="Times New Roman"/>
          <w:lang w:val="en-US"/>
        </w:rPr>
        <w:t xml:space="preserve"> </w:t>
      </w:r>
      <w:r w:rsidR="000A6779">
        <w:rPr>
          <w:rFonts w:ascii="Cambria" w:hAnsi="Cambria" w:cs="Times New Roman"/>
          <w:lang w:val="en-US"/>
        </w:rPr>
        <w:t>The d</w:t>
      </w:r>
      <w:r w:rsidR="000A6779" w:rsidRPr="000A6779">
        <w:rPr>
          <w:rFonts w:ascii="Cambria" w:hAnsi="Cambria" w:cs="Times New Roman"/>
          <w:lang w:val="en-US"/>
        </w:rPr>
        <w:t>efinition of BRI</w:t>
      </w:r>
      <w:r w:rsidR="00B94538">
        <w:rPr>
          <w:rFonts w:ascii="Cambria" w:hAnsi="Cambria" w:cs="Times New Roman"/>
          <w:lang w:val="en-US"/>
        </w:rPr>
        <w:t xml:space="preserve"> outlined in the document</w:t>
      </w:r>
      <w:r w:rsidR="000A6779" w:rsidRPr="000A6779">
        <w:rPr>
          <w:rFonts w:ascii="Cambria" w:hAnsi="Cambria" w:cs="Times New Roman"/>
          <w:lang w:val="en-US"/>
        </w:rPr>
        <w:t xml:space="preserve"> is all-encompassing in nature and it can be applied with equal success to different contexts. Therefore, the </w:t>
      </w:r>
      <w:r w:rsidR="000A6779" w:rsidRPr="000A6779">
        <w:rPr>
          <w:rFonts w:ascii="Cambria" w:hAnsi="Cambria" w:cs="Times New Roman"/>
          <w:lang w:val="en-US"/>
        </w:rPr>
        <w:t>term BRI itself is broad and general and it opens the room for a diversify of meanings and interpretations.</w:t>
      </w:r>
    </w:p>
    <w:p w14:paraId="53597CF2" w14:textId="77777777" w:rsidR="00B94538" w:rsidRDefault="00B94538" w:rsidP="00B531B6">
      <w:pPr>
        <w:spacing w:line="240" w:lineRule="auto"/>
        <w:rPr>
          <w:rFonts w:ascii="Cambria" w:hAnsi="Cambria" w:cs="Times New Roman"/>
          <w:lang w:val="en-US"/>
        </w:rPr>
      </w:pPr>
    </w:p>
    <w:p w14:paraId="7BC59B6D" w14:textId="3AFFED62" w:rsidR="00D97143" w:rsidRPr="00B531B6" w:rsidRDefault="00D97143" w:rsidP="00B531B6">
      <w:pPr>
        <w:spacing w:line="240" w:lineRule="auto"/>
        <w:rPr>
          <w:lang w:val="en-US"/>
        </w:rPr>
      </w:pPr>
      <w:r w:rsidRPr="00E24A66">
        <w:rPr>
          <w:rFonts w:ascii="Cambria" w:hAnsi="Cambria" w:cs="Times New Roman"/>
          <w:b/>
          <w:lang w:val="en-US"/>
        </w:rPr>
        <w:t>What is a BRI project?</w:t>
      </w:r>
    </w:p>
    <w:p w14:paraId="024E060D" w14:textId="29812D5B" w:rsidR="00E471A8" w:rsidRPr="00B531B6" w:rsidRDefault="00B531B6" w:rsidP="00FD50B2">
      <w:pPr>
        <w:spacing w:line="240" w:lineRule="auto"/>
        <w:rPr>
          <w:lang w:val="en-US"/>
        </w:rPr>
      </w:pPr>
      <w:r>
        <w:rPr>
          <w:rFonts w:ascii="Cambria" w:hAnsi="Cambria" w:cs="Times New Roman"/>
          <w:lang w:val="en-US"/>
        </w:rPr>
        <w:t xml:space="preserve">China has actively promoted </w:t>
      </w:r>
      <w:r w:rsidRPr="00E24A66">
        <w:rPr>
          <w:rFonts w:ascii="Cambria" w:hAnsi="Cambria" w:cs="Times New Roman"/>
          <w:lang w:val="en-US"/>
        </w:rPr>
        <w:t>B</w:t>
      </w:r>
      <w:r>
        <w:rPr>
          <w:rFonts w:ascii="Cambria" w:hAnsi="Cambria" w:cs="Times New Roman"/>
          <w:lang w:val="en-US"/>
        </w:rPr>
        <w:t xml:space="preserve">elt and </w:t>
      </w:r>
      <w:r w:rsidRPr="00E24A66">
        <w:rPr>
          <w:rFonts w:ascii="Cambria" w:hAnsi="Cambria" w:cs="Times New Roman"/>
          <w:lang w:val="en-US"/>
        </w:rPr>
        <w:t>R</w:t>
      </w:r>
      <w:r>
        <w:rPr>
          <w:rFonts w:ascii="Cambria" w:hAnsi="Cambria" w:cs="Times New Roman"/>
          <w:lang w:val="en-US"/>
        </w:rPr>
        <w:t>oad Initiative (BRI) projects in Central Asia since 201</w:t>
      </w:r>
      <w:r w:rsidR="00FD50B2">
        <w:rPr>
          <w:rFonts w:ascii="Cambria" w:hAnsi="Cambria" w:cs="Times New Roman"/>
          <w:lang w:val="en-US"/>
        </w:rPr>
        <w:t>3</w:t>
      </w:r>
      <w:r w:rsidR="003771C4">
        <w:rPr>
          <w:rFonts w:ascii="Cambria" w:hAnsi="Cambria" w:cs="Times New Roman"/>
          <w:lang w:val="en-US"/>
        </w:rPr>
        <w:t>.</w:t>
      </w:r>
      <w:r>
        <w:rPr>
          <w:rStyle w:val="FootnoteReference"/>
          <w:rFonts w:ascii="Cambria" w:hAnsi="Cambria" w:cs="Times New Roman"/>
          <w:lang w:val="en-US"/>
        </w:rPr>
        <w:footnoteReference w:id="2"/>
      </w:r>
      <w:r>
        <w:rPr>
          <w:rFonts w:ascii="Cambria" w:hAnsi="Cambria" w:cs="Times New Roman"/>
          <w:lang w:val="en-US"/>
        </w:rPr>
        <w:t xml:space="preserve"> </w:t>
      </w:r>
      <w:r w:rsidR="00FD50B2">
        <w:rPr>
          <w:rFonts w:ascii="Cambria" w:hAnsi="Cambria" w:cs="Times New Roman"/>
          <w:lang w:val="en-US"/>
        </w:rPr>
        <w:t>However, t</w:t>
      </w:r>
      <w:r w:rsidR="00E471A8" w:rsidRPr="00E24A66">
        <w:rPr>
          <w:rFonts w:ascii="Cambria" w:hAnsi="Cambria" w:cs="Times New Roman"/>
          <w:lang w:val="en-US"/>
        </w:rPr>
        <w:t xml:space="preserve">here </w:t>
      </w:r>
      <w:r w:rsidR="001539E0" w:rsidRPr="00E24A66">
        <w:rPr>
          <w:rFonts w:ascii="Cambria" w:hAnsi="Cambria" w:cs="Times New Roman"/>
          <w:lang w:val="en-US"/>
        </w:rPr>
        <w:t>are</w:t>
      </w:r>
      <w:r w:rsidR="00E471A8" w:rsidRPr="00E24A66">
        <w:rPr>
          <w:rFonts w:ascii="Cambria" w:hAnsi="Cambria" w:cs="Times New Roman"/>
          <w:lang w:val="en-US"/>
        </w:rPr>
        <w:t xml:space="preserve"> no commonly accepted definition</w:t>
      </w:r>
      <w:r w:rsidR="001539E0" w:rsidRPr="00E24A66">
        <w:rPr>
          <w:rFonts w:ascii="Cambria" w:hAnsi="Cambria" w:cs="Times New Roman"/>
          <w:lang w:val="en-US"/>
        </w:rPr>
        <w:t>s</w:t>
      </w:r>
      <w:r w:rsidR="00E471A8" w:rsidRPr="00E24A66">
        <w:rPr>
          <w:rFonts w:ascii="Cambria" w:hAnsi="Cambria" w:cs="Times New Roman"/>
          <w:lang w:val="en-US"/>
        </w:rPr>
        <w:t xml:space="preserve"> or key determinants of </w:t>
      </w:r>
      <w:r w:rsidR="00F34304">
        <w:rPr>
          <w:rFonts w:ascii="Cambria" w:hAnsi="Cambria" w:cs="Times New Roman"/>
          <w:lang w:val="en-US"/>
        </w:rPr>
        <w:t xml:space="preserve">what makes </w:t>
      </w:r>
      <w:r w:rsidR="00E471A8" w:rsidRPr="00E24A66">
        <w:rPr>
          <w:rFonts w:ascii="Cambria" w:hAnsi="Cambria" w:cs="Times New Roman"/>
          <w:lang w:val="en-US"/>
        </w:rPr>
        <w:t>project</w:t>
      </w:r>
      <w:r w:rsidR="00F34304">
        <w:rPr>
          <w:rFonts w:ascii="Cambria" w:hAnsi="Cambria" w:cs="Times New Roman"/>
          <w:lang w:val="en-US"/>
        </w:rPr>
        <w:t xml:space="preserve"> part of BRI</w:t>
      </w:r>
      <w:r w:rsidR="00E471A8" w:rsidRPr="00E24A66">
        <w:rPr>
          <w:rFonts w:ascii="Cambria" w:hAnsi="Cambria" w:cs="Times New Roman"/>
          <w:lang w:val="en-US"/>
        </w:rPr>
        <w:t xml:space="preserve">. </w:t>
      </w:r>
      <w:r w:rsidR="00E62FC6" w:rsidRPr="00E24A66">
        <w:rPr>
          <w:rFonts w:ascii="Cambria" w:hAnsi="Cambria" w:cs="Times New Roman"/>
          <w:lang w:val="en-US"/>
        </w:rPr>
        <w:t xml:space="preserve">We </w:t>
      </w:r>
      <w:r w:rsidR="00B4057D" w:rsidRPr="00E24A66">
        <w:rPr>
          <w:rFonts w:ascii="Cambria" w:hAnsi="Cambria" w:cs="Times New Roman"/>
          <w:lang w:val="en-US"/>
        </w:rPr>
        <w:t>regard</w:t>
      </w:r>
      <w:r w:rsidR="009E1966">
        <w:rPr>
          <w:rFonts w:ascii="Cambria" w:hAnsi="Cambria" w:cs="Times New Roman"/>
          <w:lang w:val="en-US"/>
        </w:rPr>
        <w:t xml:space="preserve"> Chinese</w:t>
      </w:r>
      <w:r w:rsidR="00E471A8" w:rsidRPr="00E24A66">
        <w:rPr>
          <w:rFonts w:ascii="Cambria" w:hAnsi="Cambria" w:cs="Times New Roman"/>
          <w:lang w:val="en-US"/>
        </w:rPr>
        <w:t xml:space="preserve"> projects </w:t>
      </w:r>
      <w:r w:rsidR="009E1966">
        <w:rPr>
          <w:rFonts w:ascii="Cambria" w:hAnsi="Cambria" w:cs="Times New Roman"/>
          <w:lang w:val="en-US"/>
        </w:rPr>
        <w:t xml:space="preserve">in Central Asia </w:t>
      </w:r>
      <w:r w:rsidR="00E471A8" w:rsidRPr="00E24A66">
        <w:rPr>
          <w:rFonts w:ascii="Cambria" w:hAnsi="Cambria" w:cs="Times New Roman"/>
          <w:lang w:val="en-US"/>
        </w:rPr>
        <w:t xml:space="preserve">as part of BRI if they </w:t>
      </w:r>
      <w:r w:rsidR="00B4057D" w:rsidRPr="00E24A66">
        <w:rPr>
          <w:rFonts w:ascii="Cambria" w:hAnsi="Cambria" w:cs="Times New Roman"/>
          <w:lang w:val="en-US"/>
        </w:rPr>
        <w:t>satisfy the following criteria</w:t>
      </w:r>
      <w:r w:rsidR="00E471A8" w:rsidRPr="00E24A66">
        <w:rPr>
          <w:rFonts w:ascii="Cambria" w:hAnsi="Cambria" w:cs="Times New Roman"/>
          <w:lang w:val="en-US"/>
        </w:rPr>
        <w:t xml:space="preserve">: </w:t>
      </w:r>
    </w:p>
    <w:p w14:paraId="54AE2577" w14:textId="77777777" w:rsidR="0078025C" w:rsidRPr="00E24A66" w:rsidRDefault="0078025C" w:rsidP="00E471A8">
      <w:pPr>
        <w:spacing w:line="240" w:lineRule="auto"/>
        <w:rPr>
          <w:rFonts w:ascii="Cambria" w:hAnsi="Cambria" w:cs="Times New Roman"/>
          <w:lang w:val="en-US"/>
        </w:rPr>
      </w:pPr>
    </w:p>
    <w:p w14:paraId="413E7470" w14:textId="2D8E1173" w:rsidR="00A73BB4" w:rsidRPr="007D3639" w:rsidRDefault="00B4057D" w:rsidP="007D3639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>p</w:t>
      </w:r>
      <w:r w:rsidR="00E471A8" w:rsidRPr="00E24A66">
        <w:rPr>
          <w:rFonts w:ascii="Cambria" w:hAnsi="Cambria" w:cs="Times New Roman"/>
          <w:lang w:val="en-US"/>
        </w:rPr>
        <w:t>ublicly reported as</w:t>
      </w:r>
      <w:r w:rsidR="0019390B">
        <w:rPr>
          <w:rFonts w:ascii="Cambria" w:hAnsi="Cambria" w:cs="Times New Roman"/>
          <w:lang w:val="en-US"/>
        </w:rPr>
        <w:t xml:space="preserve"> a</w:t>
      </w:r>
      <w:r w:rsidR="00E471A8" w:rsidRPr="00E24A66">
        <w:rPr>
          <w:rFonts w:ascii="Cambria" w:hAnsi="Cambria" w:cs="Times New Roman"/>
          <w:lang w:val="en-US"/>
        </w:rPr>
        <w:t xml:space="preserve"> BRI</w:t>
      </w:r>
      <w:r w:rsidR="0019390B">
        <w:rPr>
          <w:rFonts w:ascii="Cambria" w:hAnsi="Cambria" w:cs="Times New Roman"/>
          <w:lang w:val="en-US"/>
        </w:rPr>
        <w:t xml:space="preserve"> project</w:t>
      </w:r>
      <w:r w:rsidR="00EC6540">
        <w:rPr>
          <w:rFonts w:ascii="Cambria" w:hAnsi="Cambria" w:cs="Times New Roman"/>
          <w:lang w:val="en-US"/>
        </w:rPr>
        <w:t>;</w:t>
      </w:r>
    </w:p>
    <w:p w14:paraId="7D4036C7" w14:textId="07BE444C" w:rsidR="00E471A8" w:rsidRPr="00E24A66" w:rsidRDefault="00B4057D" w:rsidP="00E471A8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>f</w:t>
      </w:r>
      <w:r w:rsidR="00E471A8" w:rsidRPr="00E24A66">
        <w:rPr>
          <w:rFonts w:ascii="Cambria" w:hAnsi="Cambria" w:cs="Times New Roman"/>
          <w:lang w:val="en-US"/>
        </w:rPr>
        <w:t xml:space="preserve">ully or partially financed by the BRI financial </w:t>
      </w:r>
      <w:r w:rsidR="00E17D12" w:rsidRPr="00E24A66">
        <w:rPr>
          <w:rFonts w:ascii="Cambria" w:hAnsi="Cambria" w:cs="Times New Roman"/>
          <w:lang w:val="en-US"/>
        </w:rPr>
        <w:t>institutions</w:t>
      </w:r>
      <w:r w:rsidR="00E62FC6" w:rsidRPr="00E24A66">
        <w:rPr>
          <w:rFonts w:ascii="Cambria" w:hAnsi="Cambria" w:cs="Times New Roman"/>
          <w:lang w:val="en-US"/>
        </w:rPr>
        <w:t xml:space="preserve">: </w:t>
      </w:r>
      <w:r w:rsidR="00E471A8" w:rsidRPr="00E24A66">
        <w:rPr>
          <w:rFonts w:ascii="Cambria" w:hAnsi="Cambria" w:cs="Times New Roman"/>
          <w:lang w:val="en-US"/>
        </w:rPr>
        <w:t>Asian Infrastructure Investment Bank</w:t>
      </w:r>
      <w:r w:rsidR="00EC6540">
        <w:rPr>
          <w:rFonts w:ascii="Cambria" w:hAnsi="Cambria" w:cs="Times New Roman"/>
          <w:lang w:val="en-US"/>
        </w:rPr>
        <w:t xml:space="preserve"> (AIIB)</w:t>
      </w:r>
      <w:r w:rsidR="00E471A8" w:rsidRPr="00E24A66">
        <w:rPr>
          <w:rFonts w:ascii="Cambria" w:hAnsi="Cambria" w:cs="Times New Roman"/>
          <w:lang w:val="en-US"/>
        </w:rPr>
        <w:t>, China Development Bank</w:t>
      </w:r>
      <w:r w:rsidRPr="00E24A66">
        <w:rPr>
          <w:rFonts w:ascii="Cambria" w:hAnsi="Cambria" w:cs="Times New Roman"/>
          <w:lang w:val="en-US"/>
        </w:rPr>
        <w:t xml:space="preserve">, </w:t>
      </w:r>
      <w:r w:rsidR="00E471A8" w:rsidRPr="00E24A66">
        <w:rPr>
          <w:rFonts w:ascii="Cambria" w:hAnsi="Cambria" w:cs="Times New Roman"/>
          <w:lang w:val="en-US"/>
        </w:rPr>
        <w:t>Export</w:t>
      </w:r>
      <w:r w:rsidRPr="00E24A66">
        <w:rPr>
          <w:rFonts w:ascii="Cambria" w:hAnsi="Cambria" w:cs="Times New Roman"/>
          <w:lang w:val="en-US"/>
        </w:rPr>
        <w:t>–</w:t>
      </w:r>
      <w:r w:rsidR="00E471A8" w:rsidRPr="00E24A66">
        <w:rPr>
          <w:rFonts w:ascii="Cambria" w:hAnsi="Cambria" w:cs="Times New Roman"/>
          <w:lang w:val="en-US"/>
        </w:rPr>
        <w:t>Import Bank of China</w:t>
      </w:r>
      <w:r w:rsidR="002F4736">
        <w:rPr>
          <w:rFonts w:ascii="Cambria" w:hAnsi="Cambria" w:cs="Times New Roman"/>
          <w:lang w:val="en-US"/>
        </w:rPr>
        <w:t xml:space="preserve"> or</w:t>
      </w:r>
      <w:r w:rsidR="002F4736" w:rsidRPr="002F4736">
        <w:rPr>
          <w:rFonts w:ascii="Cambria" w:hAnsi="Cambria" w:cs="Times New Roman"/>
          <w:lang w:val="en-US"/>
        </w:rPr>
        <w:t xml:space="preserve"> </w:t>
      </w:r>
      <w:r w:rsidR="002F4736" w:rsidRPr="00E24A66">
        <w:rPr>
          <w:rFonts w:ascii="Cambria" w:hAnsi="Cambria" w:cs="Times New Roman"/>
          <w:lang w:val="en-US"/>
        </w:rPr>
        <w:t>New Silk Road Fund</w:t>
      </w:r>
      <w:r w:rsidR="00EC6540">
        <w:rPr>
          <w:rFonts w:ascii="Cambria" w:hAnsi="Cambria" w:cs="Times New Roman"/>
          <w:lang w:val="en-US"/>
        </w:rPr>
        <w:t>;</w:t>
      </w:r>
      <w:r w:rsidR="00E471A8" w:rsidRPr="00E24A66">
        <w:rPr>
          <w:rFonts w:ascii="Cambria" w:hAnsi="Cambria" w:cs="Times New Roman"/>
          <w:lang w:val="en-US"/>
        </w:rPr>
        <w:t xml:space="preserve"> </w:t>
      </w:r>
    </w:p>
    <w:p w14:paraId="444BC7DB" w14:textId="2831C096" w:rsidR="00594114" w:rsidRPr="00E24A66" w:rsidRDefault="00E62FC6" w:rsidP="00E471A8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lastRenderedPageBreak/>
        <w:t>launched after</w:t>
      </w:r>
      <w:r w:rsidR="00E471A8" w:rsidRPr="00E24A66">
        <w:rPr>
          <w:rFonts w:ascii="Cambria" w:hAnsi="Cambria" w:cs="Times New Roman"/>
          <w:lang w:val="en-US"/>
        </w:rPr>
        <w:t xml:space="preserve"> the first announcement of </w:t>
      </w:r>
      <w:r w:rsidR="00F34304">
        <w:rPr>
          <w:rFonts w:ascii="Cambria" w:hAnsi="Cambria" w:cs="Times New Roman"/>
          <w:lang w:val="en-US"/>
        </w:rPr>
        <w:t>BRI</w:t>
      </w:r>
      <w:r w:rsidR="00E471A8" w:rsidRPr="00E24A66">
        <w:rPr>
          <w:rFonts w:ascii="Cambria" w:hAnsi="Cambria" w:cs="Times New Roman"/>
          <w:lang w:val="en-US"/>
        </w:rPr>
        <w:t xml:space="preserve"> in 2013</w:t>
      </w:r>
      <w:r w:rsidR="00EC6540">
        <w:rPr>
          <w:rFonts w:ascii="Cambria" w:hAnsi="Cambria" w:cs="Times New Roman"/>
          <w:lang w:val="en-US"/>
        </w:rPr>
        <w:t>;</w:t>
      </w:r>
      <w:r w:rsidR="00E471A8" w:rsidRPr="00E24A66">
        <w:rPr>
          <w:rFonts w:ascii="Cambria" w:hAnsi="Cambria" w:cs="Times New Roman"/>
          <w:lang w:val="en-US"/>
        </w:rPr>
        <w:t xml:space="preserve"> </w:t>
      </w:r>
    </w:p>
    <w:p w14:paraId="60051825" w14:textId="5B15D18F" w:rsidR="00E471A8" w:rsidRPr="00E24A66" w:rsidRDefault="00E62FC6" w:rsidP="00E471A8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>i</w:t>
      </w:r>
      <w:r w:rsidR="00594114" w:rsidRPr="00E24A66">
        <w:rPr>
          <w:rFonts w:ascii="Cambria" w:hAnsi="Cambria" w:cs="Times New Roman"/>
          <w:lang w:val="en-US"/>
        </w:rPr>
        <w:t xml:space="preserve">mplemented and financed </w:t>
      </w:r>
      <w:r w:rsidR="00B4057D" w:rsidRPr="00E24A66">
        <w:rPr>
          <w:rFonts w:ascii="Cambria" w:hAnsi="Cambria" w:cs="Times New Roman"/>
          <w:lang w:val="en-US"/>
        </w:rPr>
        <w:t xml:space="preserve">in </w:t>
      </w:r>
      <w:r w:rsidR="00594114" w:rsidRPr="00E24A66">
        <w:rPr>
          <w:rFonts w:ascii="Cambria" w:hAnsi="Cambria" w:cs="Times New Roman"/>
          <w:lang w:val="en-US"/>
        </w:rPr>
        <w:t xml:space="preserve">either </w:t>
      </w:r>
      <w:r w:rsidRPr="00E24A66">
        <w:rPr>
          <w:rFonts w:ascii="Cambria" w:hAnsi="Cambria" w:cs="Times New Roman"/>
          <w:lang w:val="en-US"/>
        </w:rPr>
        <w:t xml:space="preserve">a </w:t>
      </w:r>
      <w:r w:rsidR="00594114" w:rsidRPr="00E24A66">
        <w:rPr>
          <w:rFonts w:ascii="Cambria" w:hAnsi="Cambria" w:cs="Times New Roman"/>
          <w:lang w:val="en-US"/>
        </w:rPr>
        <w:t>bilateral</w:t>
      </w:r>
      <w:r w:rsidR="00B4057D" w:rsidRPr="00E24A66">
        <w:rPr>
          <w:rFonts w:ascii="Cambria" w:hAnsi="Cambria" w:cs="Times New Roman"/>
          <w:lang w:val="en-US"/>
        </w:rPr>
        <w:t xml:space="preserve"> format</w:t>
      </w:r>
      <w:r w:rsidR="00594114" w:rsidRPr="00E24A66">
        <w:rPr>
          <w:rFonts w:ascii="Cambria" w:hAnsi="Cambria" w:cs="Times New Roman"/>
          <w:lang w:val="en-US"/>
        </w:rPr>
        <w:t xml:space="preserve"> (between China and one of the Central Asian state</w:t>
      </w:r>
      <w:r w:rsidR="00B4057D" w:rsidRPr="00E24A66">
        <w:rPr>
          <w:rFonts w:ascii="Cambria" w:hAnsi="Cambria" w:cs="Times New Roman"/>
          <w:lang w:val="en-US"/>
        </w:rPr>
        <w:t>s</w:t>
      </w:r>
      <w:r w:rsidR="00594114" w:rsidRPr="00E24A66">
        <w:rPr>
          <w:rFonts w:ascii="Cambria" w:hAnsi="Cambria" w:cs="Times New Roman"/>
          <w:lang w:val="en-US"/>
        </w:rPr>
        <w:t xml:space="preserve">) or </w:t>
      </w:r>
      <w:r w:rsidR="00CD6FAE" w:rsidRPr="00E24A66">
        <w:rPr>
          <w:rFonts w:ascii="Cambria" w:hAnsi="Cambria" w:cs="Times New Roman"/>
          <w:lang w:val="en-US"/>
        </w:rPr>
        <w:t xml:space="preserve">a </w:t>
      </w:r>
      <w:r w:rsidR="00594114" w:rsidRPr="00E24A66">
        <w:rPr>
          <w:rFonts w:ascii="Cambria" w:hAnsi="Cambria" w:cs="Times New Roman"/>
          <w:lang w:val="en-US"/>
        </w:rPr>
        <w:t xml:space="preserve">multilateral </w:t>
      </w:r>
      <w:r w:rsidR="00B4057D" w:rsidRPr="00E24A66">
        <w:rPr>
          <w:rFonts w:ascii="Cambria" w:hAnsi="Cambria" w:cs="Times New Roman"/>
          <w:lang w:val="en-US"/>
        </w:rPr>
        <w:t xml:space="preserve">format </w:t>
      </w:r>
      <w:r w:rsidR="00594114" w:rsidRPr="00E24A66">
        <w:rPr>
          <w:rFonts w:ascii="Cambria" w:hAnsi="Cambria" w:cs="Times New Roman"/>
          <w:lang w:val="en-US"/>
        </w:rPr>
        <w:t>(</w:t>
      </w:r>
      <w:r w:rsidR="00B4057D" w:rsidRPr="00E24A66">
        <w:rPr>
          <w:rFonts w:ascii="Cambria" w:hAnsi="Cambria" w:cs="Times New Roman"/>
          <w:lang w:val="en-US"/>
        </w:rPr>
        <w:t xml:space="preserve">among </w:t>
      </w:r>
      <w:r w:rsidR="00594114" w:rsidRPr="00E24A66">
        <w:rPr>
          <w:rFonts w:ascii="Cambria" w:hAnsi="Cambria" w:cs="Times New Roman"/>
          <w:lang w:val="en-US"/>
        </w:rPr>
        <w:t xml:space="preserve">three </w:t>
      </w:r>
      <w:r w:rsidRPr="00E24A66">
        <w:rPr>
          <w:rFonts w:ascii="Cambria" w:hAnsi="Cambria" w:cs="Times New Roman"/>
          <w:lang w:val="en-US"/>
        </w:rPr>
        <w:t>or</w:t>
      </w:r>
      <w:r w:rsidR="00594114" w:rsidRPr="00E24A66">
        <w:rPr>
          <w:rFonts w:ascii="Cambria" w:hAnsi="Cambria" w:cs="Times New Roman"/>
          <w:lang w:val="en-US"/>
        </w:rPr>
        <w:t xml:space="preserve"> more parties)</w:t>
      </w:r>
      <w:r w:rsidR="00EC6540">
        <w:rPr>
          <w:rFonts w:ascii="Cambria" w:hAnsi="Cambria" w:cs="Times New Roman"/>
          <w:lang w:val="en-US"/>
        </w:rPr>
        <w:t>.</w:t>
      </w:r>
      <w:r w:rsidR="00E471A8" w:rsidRPr="00E24A66">
        <w:rPr>
          <w:rFonts w:ascii="Cambria" w:hAnsi="Cambria" w:cs="Times New Roman"/>
          <w:lang w:val="en-US"/>
        </w:rPr>
        <w:t xml:space="preserve"> </w:t>
      </w:r>
    </w:p>
    <w:p w14:paraId="7D1A9C6F" w14:textId="6DF90881" w:rsidR="00F80840" w:rsidRPr="00E24A66" w:rsidRDefault="00CD6FAE" w:rsidP="00F80840">
      <w:pPr>
        <w:spacing w:before="160"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 xml:space="preserve">In </w:t>
      </w:r>
      <w:r w:rsidR="00A22DBE">
        <w:rPr>
          <w:rFonts w:ascii="Cambria" w:hAnsi="Cambria" w:cs="Times New Roman"/>
          <w:lang w:val="en-US"/>
        </w:rPr>
        <w:t xml:space="preserve">this and other </w:t>
      </w:r>
      <w:r w:rsidR="00F34304">
        <w:rPr>
          <w:rFonts w:ascii="Cambria" w:hAnsi="Cambria" w:cs="Times New Roman"/>
          <w:lang w:val="en-US"/>
        </w:rPr>
        <w:t xml:space="preserve">data </w:t>
      </w:r>
      <w:r w:rsidRPr="00E24A66">
        <w:rPr>
          <w:rFonts w:ascii="Cambria" w:hAnsi="Cambria" w:cs="Times New Roman"/>
          <w:lang w:val="en-US"/>
        </w:rPr>
        <w:t>article</w:t>
      </w:r>
      <w:r w:rsidR="00A22DBE">
        <w:rPr>
          <w:rFonts w:ascii="Cambria" w:hAnsi="Cambria" w:cs="Times New Roman"/>
          <w:lang w:val="en-US"/>
        </w:rPr>
        <w:t>s on BRI (see CADGAT data articles no. 21-27),</w:t>
      </w:r>
      <w:r w:rsidRPr="00E24A66">
        <w:rPr>
          <w:rFonts w:ascii="Cambria" w:hAnsi="Cambria" w:cs="Times New Roman"/>
          <w:lang w:val="en-US"/>
        </w:rPr>
        <w:t xml:space="preserve"> </w:t>
      </w:r>
      <w:r w:rsidR="00E471A8" w:rsidRPr="00E24A66">
        <w:rPr>
          <w:rFonts w:ascii="Cambria" w:hAnsi="Cambria" w:cs="Times New Roman"/>
          <w:lang w:val="en-US"/>
        </w:rPr>
        <w:t xml:space="preserve">Chinese projects that meet </w:t>
      </w:r>
      <w:r w:rsidR="00A22DBE">
        <w:rPr>
          <w:rFonts w:ascii="Cambria" w:hAnsi="Cambria" w:cs="Times New Roman"/>
          <w:lang w:val="en-US"/>
        </w:rPr>
        <w:t xml:space="preserve">all or some of </w:t>
      </w:r>
      <w:r w:rsidRPr="00E24A66">
        <w:rPr>
          <w:rFonts w:ascii="Cambria" w:hAnsi="Cambria" w:cs="Times New Roman"/>
          <w:lang w:val="en-US"/>
        </w:rPr>
        <w:t>these</w:t>
      </w:r>
      <w:r w:rsidR="00E471A8" w:rsidRPr="00E24A66">
        <w:rPr>
          <w:rFonts w:ascii="Cambria" w:hAnsi="Cambria" w:cs="Times New Roman"/>
          <w:lang w:val="en-US"/>
        </w:rPr>
        <w:t xml:space="preserve"> criteria are considered </w:t>
      </w:r>
      <w:r w:rsidR="00E62FC6" w:rsidRPr="00E24A66">
        <w:rPr>
          <w:rFonts w:ascii="Cambria" w:hAnsi="Cambria" w:cs="Times New Roman"/>
          <w:lang w:val="en-US"/>
        </w:rPr>
        <w:t>part of</w:t>
      </w:r>
      <w:r w:rsidR="00E21ED9">
        <w:rPr>
          <w:rFonts w:ascii="Cambria" w:hAnsi="Cambria" w:cs="Times New Roman"/>
          <w:lang w:val="en-US"/>
        </w:rPr>
        <w:t xml:space="preserve"> </w:t>
      </w:r>
      <w:r w:rsidR="00E471A8" w:rsidRPr="00E24A66">
        <w:rPr>
          <w:rFonts w:ascii="Cambria" w:hAnsi="Cambria" w:cs="Times New Roman"/>
          <w:lang w:val="en-US"/>
        </w:rPr>
        <w:t>BRI. Other</w:t>
      </w:r>
      <w:r w:rsidRPr="00E24A66">
        <w:rPr>
          <w:rFonts w:ascii="Cambria" w:hAnsi="Cambria" w:cs="Times New Roman"/>
          <w:lang w:val="en-US"/>
        </w:rPr>
        <w:t xml:space="preserve"> projects</w:t>
      </w:r>
      <w:r w:rsidR="00E471A8" w:rsidRPr="00E24A66">
        <w:rPr>
          <w:rFonts w:ascii="Cambria" w:hAnsi="Cambria" w:cs="Times New Roman"/>
          <w:lang w:val="en-US"/>
        </w:rPr>
        <w:t xml:space="preserve"> are simply Chinese bilateral projects implemented in Central Asian countries</w:t>
      </w:r>
      <w:r w:rsidRPr="00E24A66">
        <w:rPr>
          <w:rFonts w:ascii="Cambria" w:hAnsi="Cambria" w:cs="Times New Roman"/>
          <w:lang w:val="en-US"/>
        </w:rPr>
        <w:t>; they</w:t>
      </w:r>
      <w:r w:rsidR="00E62FC6" w:rsidRPr="00E24A66">
        <w:rPr>
          <w:rFonts w:ascii="Cambria" w:hAnsi="Cambria" w:cs="Times New Roman"/>
          <w:lang w:val="en-US"/>
        </w:rPr>
        <w:t xml:space="preserve"> </w:t>
      </w:r>
      <w:r w:rsidR="00127978">
        <w:rPr>
          <w:rFonts w:ascii="Cambria" w:hAnsi="Cambria" w:cs="Times New Roman"/>
          <w:lang w:val="en-US"/>
        </w:rPr>
        <w:t xml:space="preserve">are </w:t>
      </w:r>
      <w:r w:rsidR="00E62FC6" w:rsidRPr="00E24A66">
        <w:rPr>
          <w:rFonts w:ascii="Cambria" w:hAnsi="Cambria" w:cs="Times New Roman"/>
          <w:lang w:val="en-US"/>
        </w:rPr>
        <w:t xml:space="preserve">also </w:t>
      </w:r>
      <w:r w:rsidR="007D3639">
        <w:rPr>
          <w:rFonts w:ascii="Cambria" w:hAnsi="Cambria" w:cs="Times New Roman"/>
          <w:lang w:val="en-US"/>
        </w:rPr>
        <w:t>presented</w:t>
      </w:r>
      <w:r w:rsidR="00E62FC6" w:rsidRPr="00E24A66">
        <w:rPr>
          <w:rFonts w:ascii="Cambria" w:hAnsi="Cambria" w:cs="Times New Roman"/>
          <w:lang w:val="en-US"/>
        </w:rPr>
        <w:t xml:space="preserve"> in this article</w:t>
      </w:r>
      <w:r w:rsidR="00E471A8" w:rsidRPr="00E24A66">
        <w:rPr>
          <w:rFonts w:ascii="Cambria" w:hAnsi="Cambria" w:cs="Times New Roman"/>
          <w:lang w:val="en-US"/>
        </w:rPr>
        <w:t>.</w:t>
      </w:r>
      <w:r w:rsidR="00E4021F" w:rsidRPr="00E24A66">
        <w:rPr>
          <w:rFonts w:ascii="Cambria" w:hAnsi="Cambria" w:cs="Times New Roman"/>
          <w:lang w:val="en-US"/>
        </w:rPr>
        <w:t xml:space="preserve"> </w:t>
      </w:r>
      <w:r w:rsidR="00E471A8" w:rsidRPr="00E24A66">
        <w:rPr>
          <w:rFonts w:ascii="Cambria" w:hAnsi="Cambria" w:cs="Times New Roman"/>
          <w:lang w:val="en-US"/>
        </w:rPr>
        <w:t xml:space="preserve">This </w:t>
      </w:r>
      <w:r w:rsidR="00E62FC6" w:rsidRPr="00E24A66">
        <w:rPr>
          <w:rFonts w:ascii="Cambria" w:hAnsi="Cambria" w:cs="Times New Roman"/>
          <w:lang w:val="en-US"/>
        </w:rPr>
        <w:t>article</w:t>
      </w:r>
      <w:r w:rsidR="00E471A8" w:rsidRPr="00E24A66">
        <w:rPr>
          <w:rFonts w:ascii="Cambria" w:hAnsi="Cambria" w:cs="Times New Roman"/>
          <w:lang w:val="en-US"/>
        </w:rPr>
        <w:t xml:space="preserve"> provides a detailed description of projects </w:t>
      </w:r>
      <w:r w:rsidR="00E62FC6" w:rsidRPr="00E24A66">
        <w:rPr>
          <w:rFonts w:ascii="Cambria" w:hAnsi="Cambria" w:cs="Times New Roman"/>
          <w:lang w:val="en-US"/>
        </w:rPr>
        <w:t xml:space="preserve">that </w:t>
      </w:r>
      <w:r w:rsidRPr="00E24A66">
        <w:rPr>
          <w:rFonts w:ascii="Cambria" w:hAnsi="Cambria" w:cs="Times New Roman"/>
          <w:lang w:val="en-US"/>
        </w:rPr>
        <w:t>have been</w:t>
      </w:r>
      <w:r w:rsidR="00E62FC6" w:rsidRPr="00E24A66">
        <w:rPr>
          <w:rFonts w:ascii="Cambria" w:hAnsi="Cambria" w:cs="Times New Roman"/>
          <w:lang w:val="en-US"/>
        </w:rPr>
        <w:t xml:space="preserve"> </w:t>
      </w:r>
      <w:r w:rsidR="00E471A8" w:rsidRPr="00E24A66">
        <w:rPr>
          <w:rFonts w:ascii="Cambria" w:hAnsi="Cambria" w:cs="Times New Roman"/>
          <w:lang w:val="en-US"/>
        </w:rPr>
        <w:t>implemented</w:t>
      </w:r>
      <w:r w:rsidR="00E62FC6" w:rsidRPr="00E24A66">
        <w:rPr>
          <w:rFonts w:ascii="Cambria" w:hAnsi="Cambria" w:cs="Times New Roman"/>
          <w:lang w:val="en-US"/>
        </w:rPr>
        <w:t xml:space="preserve">, </w:t>
      </w:r>
      <w:r w:rsidRPr="00E24A66">
        <w:rPr>
          <w:rFonts w:ascii="Cambria" w:hAnsi="Cambria" w:cs="Times New Roman"/>
          <w:lang w:val="en-US"/>
        </w:rPr>
        <w:t xml:space="preserve">have been </w:t>
      </w:r>
      <w:r w:rsidR="00E62FC6" w:rsidRPr="00E24A66">
        <w:rPr>
          <w:rFonts w:ascii="Cambria" w:hAnsi="Cambria" w:cs="Times New Roman"/>
          <w:lang w:val="en-US"/>
        </w:rPr>
        <w:t>cancelled,</w:t>
      </w:r>
      <w:r w:rsidR="00E471A8" w:rsidRPr="00E24A66">
        <w:rPr>
          <w:rFonts w:ascii="Cambria" w:hAnsi="Cambria" w:cs="Times New Roman"/>
          <w:lang w:val="en-US"/>
        </w:rPr>
        <w:t xml:space="preserve"> or </w:t>
      </w:r>
      <w:r w:rsidRPr="00E24A66">
        <w:rPr>
          <w:rFonts w:ascii="Cambria" w:hAnsi="Cambria" w:cs="Times New Roman"/>
          <w:lang w:val="en-US"/>
        </w:rPr>
        <w:t xml:space="preserve">are </w:t>
      </w:r>
      <w:r w:rsidR="00E471A8" w:rsidRPr="00E24A66">
        <w:rPr>
          <w:rFonts w:ascii="Cambria" w:hAnsi="Cambria" w:cs="Times New Roman"/>
          <w:lang w:val="en-US"/>
        </w:rPr>
        <w:t>still in the planning stage.</w:t>
      </w:r>
    </w:p>
    <w:p w14:paraId="60D2510D" w14:textId="1A456C3D" w:rsidR="00E62FC6" w:rsidRPr="00E24A66" w:rsidRDefault="00E471A8" w:rsidP="00D97143">
      <w:pPr>
        <w:spacing w:line="240" w:lineRule="auto"/>
        <w:ind w:firstLine="708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>Data on the</w:t>
      </w:r>
      <w:r w:rsidR="0074142D">
        <w:rPr>
          <w:rFonts w:ascii="Cambria" w:hAnsi="Cambria" w:cs="Times New Roman"/>
          <w:lang w:val="en-US"/>
        </w:rPr>
        <w:t xml:space="preserve"> 261</w:t>
      </w:r>
      <w:r w:rsidRPr="00E24A66">
        <w:rPr>
          <w:rFonts w:ascii="Cambria" w:hAnsi="Cambria" w:cs="Times New Roman"/>
          <w:lang w:val="en-US"/>
        </w:rPr>
        <w:t xml:space="preserve"> projects </w:t>
      </w:r>
      <w:r w:rsidR="00754A73" w:rsidRPr="00E24A66">
        <w:rPr>
          <w:rFonts w:ascii="Cambria" w:hAnsi="Cambria" w:cs="Times New Roman"/>
          <w:lang w:val="en-US"/>
        </w:rPr>
        <w:t>were</w:t>
      </w:r>
      <w:r w:rsidRPr="00E24A66">
        <w:rPr>
          <w:rFonts w:ascii="Cambria" w:hAnsi="Cambria" w:cs="Times New Roman"/>
          <w:lang w:val="en-US"/>
        </w:rPr>
        <w:t xml:space="preserve"> gathered by </w:t>
      </w:r>
      <w:r w:rsidR="00D97143" w:rsidRPr="00E24A66">
        <w:rPr>
          <w:rFonts w:ascii="Cambria" w:hAnsi="Cambria" w:cs="Times New Roman"/>
          <w:lang w:val="en-US"/>
        </w:rPr>
        <w:t xml:space="preserve">one </w:t>
      </w:r>
      <w:r w:rsidRPr="00E24A66">
        <w:rPr>
          <w:rFonts w:ascii="Cambria" w:hAnsi="Cambria" w:cs="Times New Roman"/>
          <w:lang w:val="en-US"/>
        </w:rPr>
        <w:t xml:space="preserve">researcher </w:t>
      </w:r>
      <w:r w:rsidR="00AE56E7">
        <w:rPr>
          <w:rFonts w:ascii="Cambria" w:hAnsi="Cambria" w:cs="Times New Roman"/>
          <w:lang w:val="en-US"/>
        </w:rPr>
        <w:t xml:space="preserve">from </w:t>
      </w:r>
      <w:r w:rsidRPr="00E24A66">
        <w:rPr>
          <w:rFonts w:ascii="Cambria" w:hAnsi="Cambria" w:cs="Times New Roman"/>
          <w:lang w:val="en-US"/>
        </w:rPr>
        <w:t xml:space="preserve">each Central Asian country </w:t>
      </w:r>
      <w:r w:rsidR="00D97143" w:rsidRPr="00E24A66">
        <w:rPr>
          <w:rFonts w:ascii="Cambria" w:hAnsi="Cambria" w:cs="Times New Roman"/>
          <w:lang w:val="en-US"/>
        </w:rPr>
        <w:t xml:space="preserve">and were </w:t>
      </w:r>
      <w:r w:rsidR="00CD6FAE" w:rsidRPr="00E24A66">
        <w:rPr>
          <w:rFonts w:ascii="Cambria" w:hAnsi="Cambria" w:cs="Times New Roman"/>
          <w:lang w:val="en-US"/>
        </w:rPr>
        <w:t>drawn</w:t>
      </w:r>
      <w:r w:rsidR="00D97143" w:rsidRPr="00E24A66">
        <w:rPr>
          <w:rFonts w:ascii="Cambria" w:hAnsi="Cambria" w:cs="Times New Roman"/>
          <w:lang w:val="en-US"/>
        </w:rPr>
        <w:t xml:space="preserve"> </w:t>
      </w:r>
      <w:r w:rsidRPr="00E24A66">
        <w:rPr>
          <w:rFonts w:ascii="Cambria" w:hAnsi="Cambria" w:cs="Times New Roman"/>
          <w:lang w:val="en-US"/>
        </w:rPr>
        <w:t xml:space="preserve">from </w:t>
      </w:r>
      <w:r w:rsidR="00DC5CAF">
        <w:rPr>
          <w:rFonts w:asciiTheme="majorHAnsi" w:hAnsiTheme="majorHAnsi"/>
          <w:lang w:val="en-GB"/>
        </w:rPr>
        <w:t>official</w:t>
      </w:r>
      <w:r w:rsidR="00DC5CAF" w:rsidRPr="00E171E6">
        <w:rPr>
          <w:rFonts w:asciiTheme="majorHAnsi" w:hAnsiTheme="majorHAnsi"/>
          <w:lang w:val="en-GB"/>
        </w:rPr>
        <w:t xml:space="preserve"> statistic</w:t>
      </w:r>
      <w:r w:rsidR="00DC5CAF">
        <w:rPr>
          <w:rFonts w:asciiTheme="majorHAnsi" w:hAnsiTheme="majorHAnsi"/>
          <w:lang w:val="en-GB"/>
        </w:rPr>
        <w:t>s</w:t>
      </w:r>
      <w:r w:rsidR="00DC5CAF" w:rsidRPr="00E171E6">
        <w:rPr>
          <w:rFonts w:asciiTheme="majorHAnsi" w:hAnsiTheme="majorHAnsi"/>
          <w:lang w:val="en-GB"/>
        </w:rPr>
        <w:t xml:space="preserve">, </w:t>
      </w:r>
      <w:r w:rsidR="00DC5CAF">
        <w:rPr>
          <w:rFonts w:asciiTheme="majorHAnsi" w:hAnsiTheme="majorHAnsi"/>
          <w:lang w:val="en-GB"/>
        </w:rPr>
        <w:t xml:space="preserve">local and </w:t>
      </w:r>
      <w:r w:rsidR="00DC5CAF" w:rsidRPr="00E171E6">
        <w:rPr>
          <w:rFonts w:asciiTheme="majorHAnsi" w:hAnsiTheme="majorHAnsi"/>
          <w:lang w:val="en-GB"/>
        </w:rPr>
        <w:t>international media</w:t>
      </w:r>
      <w:r w:rsidR="00DC5CAF">
        <w:rPr>
          <w:rFonts w:asciiTheme="majorHAnsi" w:hAnsiTheme="majorHAnsi"/>
          <w:lang w:val="en-GB"/>
        </w:rPr>
        <w:t xml:space="preserve"> news, government</w:t>
      </w:r>
      <w:r w:rsidR="00DC5CAF" w:rsidRPr="00E171E6">
        <w:rPr>
          <w:rFonts w:asciiTheme="majorHAnsi" w:hAnsiTheme="majorHAnsi"/>
          <w:lang w:val="en-GB"/>
        </w:rPr>
        <w:t xml:space="preserve"> </w:t>
      </w:r>
      <w:r w:rsidR="00DC5CAF">
        <w:rPr>
          <w:rFonts w:asciiTheme="majorHAnsi" w:hAnsiTheme="majorHAnsi"/>
          <w:lang w:val="en-GB"/>
        </w:rPr>
        <w:t xml:space="preserve">press releases, </w:t>
      </w:r>
      <w:r w:rsidR="00DC5CAF" w:rsidRPr="00E171E6">
        <w:rPr>
          <w:rFonts w:asciiTheme="majorHAnsi" w:hAnsiTheme="majorHAnsi"/>
          <w:lang w:val="en-GB"/>
        </w:rPr>
        <w:t>interviews</w:t>
      </w:r>
      <w:r w:rsidR="00DC5CAF">
        <w:rPr>
          <w:rFonts w:asciiTheme="majorHAnsi" w:hAnsiTheme="majorHAnsi"/>
          <w:lang w:val="en-GB"/>
        </w:rPr>
        <w:t xml:space="preserve"> and reports</w:t>
      </w:r>
      <w:r w:rsidRPr="00E24A66">
        <w:rPr>
          <w:rFonts w:ascii="Cambria" w:hAnsi="Cambria" w:cs="Times New Roman"/>
          <w:lang w:val="en-US"/>
        </w:rPr>
        <w:t xml:space="preserve">. </w:t>
      </w:r>
      <w:r w:rsidR="00D97143" w:rsidRPr="00E24A66">
        <w:rPr>
          <w:rFonts w:ascii="Cambria" w:hAnsi="Cambria"/>
          <w:lang w:val="en-US"/>
        </w:rPr>
        <w:t>Data collection was carried out between August 2018 and January 2019.</w:t>
      </w:r>
    </w:p>
    <w:p w14:paraId="7896BC61" w14:textId="566E68C9" w:rsidR="00D97143" w:rsidRPr="00E24A66" w:rsidRDefault="00D97143" w:rsidP="00DF00FE">
      <w:p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ab/>
      </w:r>
      <w:r w:rsidR="00F34304">
        <w:rPr>
          <w:rFonts w:ascii="Cambria" w:hAnsi="Cambria" w:cs="Times New Roman"/>
          <w:lang w:val="en-US"/>
        </w:rPr>
        <w:t>W</w:t>
      </w:r>
      <w:r w:rsidR="00E471A8" w:rsidRPr="00E24A66">
        <w:rPr>
          <w:rFonts w:ascii="Cambria" w:hAnsi="Cambria" w:cs="Times New Roman"/>
          <w:lang w:val="en-US"/>
        </w:rPr>
        <w:t xml:space="preserve">e divide </w:t>
      </w:r>
      <w:r w:rsidR="00F34304">
        <w:rPr>
          <w:rFonts w:ascii="Cambria" w:hAnsi="Cambria" w:cs="Times New Roman"/>
          <w:lang w:val="en-US"/>
        </w:rPr>
        <w:t xml:space="preserve">projects </w:t>
      </w:r>
      <w:r w:rsidR="00E471A8" w:rsidRPr="00E24A66">
        <w:rPr>
          <w:rFonts w:ascii="Cambria" w:hAnsi="Cambria" w:cs="Times New Roman"/>
          <w:lang w:val="en-US"/>
        </w:rPr>
        <w:t xml:space="preserve">into </w:t>
      </w:r>
      <w:r w:rsidR="00165D23" w:rsidRPr="00E24A66">
        <w:rPr>
          <w:rFonts w:ascii="Cambria" w:hAnsi="Cambria" w:cs="Times New Roman"/>
          <w:lang w:val="en-US"/>
        </w:rPr>
        <w:t>four major</w:t>
      </w:r>
      <w:r w:rsidR="00934511" w:rsidRPr="00E24A66">
        <w:rPr>
          <w:rFonts w:ascii="Cambria" w:hAnsi="Cambria" w:cs="Times New Roman"/>
          <w:lang w:val="en-US"/>
        </w:rPr>
        <w:t xml:space="preserve"> </w:t>
      </w:r>
      <w:r w:rsidR="00E471A8" w:rsidRPr="00E24A66">
        <w:rPr>
          <w:rFonts w:ascii="Cambria" w:hAnsi="Cambria" w:cs="Times New Roman"/>
          <w:lang w:val="en-US"/>
        </w:rPr>
        <w:t>categories</w:t>
      </w:r>
      <w:r w:rsidRPr="00E24A66">
        <w:rPr>
          <w:rFonts w:ascii="Cambria" w:hAnsi="Cambria" w:cs="Times New Roman"/>
          <w:lang w:val="en-US"/>
        </w:rPr>
        <w:t xml:space="preserve"> </w:t>
      </w:r>
      <w:r w:rsidR="00CD6FAE" w:rsidRPr="00E24A66">
        <w:rPr>
          <w:rFonts w:ascii="Cambria" w:hAnsi="Cambria" w:cs="Times New Roman"/>
          <w:lang w:val="en-US"/>
        </w:rPr>
        <w:t>that correspond to</w:t>
      </w:r>
      <w:r w:rsidRPr="00E24A66">
        <w:rPr>
          <w:rFonts w:ascii="Cambria" w:hAnsi="Cambria" w:cs="Times New Roman"/>
          <w:lang w:val="en-US"/>
        </w:rPr>
        <w:t xml:space="preserve"> </w:t>
      </w:r>
      <w:r w:rsidR="00165D23" w:rsidRPr="00E24A66">
        <w:rPr>
          <w:rFonts w:ascii="Cambria" w:hAnsi="Cambria" w:cs="Times New Roman"/>
          <w:lang w:val="en-US"/>
        </w:rPr>
        <w:t xml:space="preserve">the </w:t>
      </w:r>
      <w:r w:rsidRPr="00E24A66">
        <w:rPr>
          <w:rFonts w:ascii="Cambria" w:hAnsi="Cambria" w:cs="Times New Roman"/>
          <w:lang w:val="en-US"/>
        </w:rPr>
        <w:t xml:space="preserve">four </w:t>
      </w:r>
      <w:r w:rsidR="00165D23" w:rsidRPr="00E24A66">
        <w:rPr>
          <w:rFonts w:ascii="Cambria" w:hAnsi="Cambria" w:cs="Times New Roman"/>
          <w:lang w:val="en-US"/>
        </w:rPr>
        <w:t>BRI priorities</w:t>
      </w:r>
      <w:r w:rsidR="00E471A8" w:rsidRPr="00E24A66">
        <w:rPr>
          <w:rFonts w:ascii="Cambria" w:hAnsi="Cambria" w:cs="Times New Roman"/>
          <w:lang w:val="en-US"/>
        </w:rPr>
        <w:t xml:space="preserve">: </w:t>
      </w:r>
      <w:r w:rsidR="00CD6FAE" w:rsidRPr="00E24A66">
        <w:rPr>
          <w:rFonts w:ascii="Cambria" w:hAnsi="Cambria" w:cs="Times New Roman"/>
          <w:lang w:val="en-US"/>
        </w:rPr>
        <w:t>(</w:t>
      </w:r>
      <w:r w:rsidR="00E471A8" w:rsidRPr="00E24A66">
        <w:rPr>
          <w:rFonts w:ascii="Cambria" w:hAnsi="Cambria" w:cs="Times New Roman"/>
          <w:lang w:val="en-US"/>
        </w:rPr>
        <w:t xml:space="preserve">a) </w:t>
      </w:r>
      <w:r w:rsidR="00844C4F">
        <w:rPr>
          <w:rFonts w:ascii="Cambria" w:hAnsi="Cambria" w:cs="Times New Roman"/>
          <w:lang w:val="en-US"/>
        </w:rPr>
        <w:t xml:space="preserve">rail and </w:t>
      </w:r>
      <w:r w:rsidRPr="00E24A66">
        <w:rPr>
          <w:rFonts w:ascii="Cambria" w:hAnsi="Cambria" w:cs="Times New Roman"/>
          <w:lang w:val="en-US"/>
        </w:rPr>
        <w:t>r</w:t>
      </w:r>
      <w:r w:rsidR="00E471A8" w:rsidRPr="00E24A66">
        <w:rPr>
          <w:rFonts w:ascii="Cambria" w:hAnsi="Cambria" w:cs="Times New Roman"/>
          <w:lang w:val="en-US"/>
        </w:rPr>
        <w:t xml:space="preserve">oad </w:t>
      </w:r>
      <w:r w:rsidRPr="00E24A66">
        <w:rPr>
          <w:rFonts w:ascii="Cambria" w:hAnsi="Cambria" w:cs="Times New Roman"/>
          <w:lang w:val="en-US"/>
        </w:rPr>
        <w:t>c</w:t>
      </w:r>
      <w:r w:rsidR="00E471A8" w:rsidRPr="00E24A66">
        <w:rPr>
          <w:rFonts w:ascii="Cambria" w:hAnsi="Cambria" w:cs="Times New Roman"/>
          <w:lang w:val="en-US"/>
        </w:rPr>
        <w:t>onnectivity</w:t>
      </w:r>
      <w:r w:rsidR="00CD6FAE" w:rsidRPr="00E24A66">
        <w:rPr>
          <w:rFonts w:ascii="Cambria" w:hAnsi="Cambria" w:cs="Times New Roman"/>
          <w:lang w:val="en-US"/>
        </w:rPr>
        <w:t>,</w:t>
      </w:r>
      <w:r w:rsidR="00E471A8" w:rsidRPr="00E24A66">
        <w:rPr>
          <w:rFonts w:ascii="Cambria" w:hAnsi="Cambria" w:cs="Times New Roman"/>
          <w:lang w:val="en-US"/>
        </w:rPr>
        <w:t xml:space="preserve"> </w:t>
      </w:r>
      <w:r w:rsidR="00CD6FAE" w:rsidRPr="00E24A66">
        <w:rPr>
          <w:rFonts w:ascii="Cambria" w:hAnsi="Cambria" w:cs="Times New Roman"/>
          <w:lang w:val="en-US"/>
        </w:rPr>
        <w:t>(</w:t>
      </w:r>
      <w:r w:rsidR="00E471A8" w:rsidRPr="00E24A66">
        <w:rPr>
          <w:rFonts w:ascii="Cambria" w:hAnsi="Cambria" w:cs="Times New Roman"/>
          <w:lang w:val="en-US"/>
        </w:rPr>
        <w:t xml:space="preserve">b) </w:t>
      </w:r>
      <w:r w:rsidRPr="00E24A66">
        <w:rPr>
          <w:rFonts w:ascii="Cambria" w:hAnsi="Cambria" w:cs="Times New Roman"/>
          <w:lang w:val="en-US"/>
        </w:rPr>
        <w:t>e</w:t>
      </w:r>
      <w:r w:rsidR="00E471A8" w:rsidRPr="00E24A66">
        <w:rPr>
          <w:rFonts w:ascii="Cambria" w:hAnsi="Cambria" w:cs="Times New Roman"/>
          <w:lang w:val="en-US"/>
        </w:rPr>
        <w:t xml:space="preserve">nergy </w:t>
      </w:r>
      <w:r w:rsidRPr="00E24A66">
        <w:rPr>
          <w:rFonts w:ascii="Cambria" w:hAnsi="Cambria" w:cs="Times New Roman"/>
          <w:lang w:val="en-US"/>
        </w:rPr>
        <w:t>c</w:t>
      </w:r>
      <w:r w:rsidR="00E471A8" w:rsidRPr="00E24A66">
        <w:rPr>
          <w:rFonts w:ascii="Cambria" w:hAnsi="Cambria" w:cs="Times New Roman"/>
          <w:lang w:val="en-US"/>
        </w:rPr>
        <w:t>onnectivity</w:t>
      </w:r>
      <w:r w:rsidR="00CD6FAE" w:rsidRPr="00E24A66">
        <w:rPr>
          <w:rFonts w:ascii="Cambria" w:hAnsi="Cambria" w:cs="Times New Roman"/>
          <w:lang w:val="en-US"/>
        </w:rPr>
        <w:t>,</w:t>
      </w:r>
      <w:r w:rsidR="00E471A8" w:rsidRPr="00E24A66">
        <w:rPr>
          <w:rFonts w:ascii="Cambria" w:hAnsi="Cambria" w:cs="Times New Roman"/>
          <w:lang w:val="en-US"/>
        </w:rPr>
        <w:t xml:space="preserve"> </w:t>
      </w:r>
      <w:r w:rsidR="00CD6FAE" w:rsidRPr="00E24A66">
        <w:rPr>
          <w:rFonts w:ascii="Cambria" w:hAnsi="Cambria" w:cs="Times New Roman"/>
          <w:lang w:val="en-US"/>
        </w:rPr>
        <w:t>(</w:t>
      </w:r>
      <w:r w:rsidR="00E471A8" w:rsidRPr="00E24A66">
        <w:rPr>
          <w:rFonts w:ascii="Cambria" w:hAnsi="Cambria" w:cs="Times New Roman"/>
          <w:lang w:val="en-US"/>
        </w:rPr>
        <w:t xml:space="preserve">c) </w:t>
      </w:r>
      <w:r w:rsidRPr="00E24A66">
        <w:rPr>
          <w:rFonts w:ascii="Cambria" w:hAnsi="Cambria" w:cs="Times New Roman"/>
          <w:lang w:val="en-US"/>
        </w:rPr>
        <w:t>t</w:t>
      </w:r>
      <w:r w:rsidR="00165D23" w:rsidRPr="00E24A66">
        <w:rPr>
          <w:rFonts w:ascii="Cambria" w:hAnsi="Cambria" w:cs="Times New Roman"/>
          <w:lang w:val="en-US"/>
        </w:rPr>
        <w:t xml:space="preserve">rade </w:t>
      </w:r>
      <w:r w:rsidR="00CD6FAE" w:rsidRPr="00E24A66">
        <w:rPr>
          <w:rFonts w:ascii="Cambria" w:hAnsi="Cambria" w:cs="Times New Roman"/>
          <w:lang w:val="en-US"/>
        </w:rPr>
        <w:t>p</w:t>
      </w:r>
      <w:r w:rsidR="00C772EA" w:rsidRPr="00E24A66">
        <w:rPr>
          <w:rFonts w:ascii="Cambria" w:hAnsi="Cambria" w:cs="Times New Roman"/>
          <w:lang w:val="en-US"/>
        </w:rPr>
        <w:t xml:space="preserve">romotion and </w:t>
      </w:r>
      <w:r w:rsidRPr="00E24A66">
        <w:rPr>
          <w:rFonts w:ascii="Cambria" w:hAnsi="Cambria" w:cs="Times New Roman"/>
          <w:lang w:val="en-US"/>
        </w:rPr>
        <w:t>i</w:t>
      </w:r>
      <w:r w:rsidR="00C772EA" w:rsidRPr="00E24A66">
        <w:rPr>
          <w:rFonts w:ascii="Cambria" w:hAnsi="Cambria" w:cs="Times New Roman"/>
          <w:lang w:val="en-US"/>
        </w:rPr>
        <w:t xml:space="preserve">ndustrial </w:t>
      </w:r>
      <w:r w:rsidRPr="00E24A66">
        <w:rPr>
          <w:rFonts w:ascii="Cambria" w:hAnsi="Cambria" w:cs="Times New Roman"/>
          <w:lang w:val="en-US"/>
        </w:rPr>
        <w:t>d</w:t>
      </w:r>
      <w:r w:rsidR="00C772EA" w:rsidRPr="00E24A66">
        <w:rPr>
          <w:rFonts w:ascii="Cambria" w:hAnsi="Cambria" w:cs="Times New Roman"/>
          <w:lang w:val="en-US"/>
        </w:rPr>
        <w:t>evelopment</w:t>
      </w:r>
      <w:r w:rsidR="00F25DC0">
        <w:rPr>
          <w:rFonts w:ascii="Cambria" w:hAnsi="Cambria" w:cs="Times New Roman"/>
          <w:lang w:val="en-US"/>
        </w:rPr>
        <w:t xml:space="preserve"> </w:t>
      </w:r>
      <w:r w:rsidR="00CD6FAE" w:rsidRPr="00E24A66">
        <w:rPr>
          <w:rFonts w:ascii="Cambria" w:hAnsi="Cambria" w:cs="Times New Roman"/>
          <w:lang w:val="en-US"/>
        </w:rPr>
        <w:t>and (</w:t>
      </w:r>
      <w:r w:rsidR="00165D23" w:rsidRPr="00E24A66">
        <w:rPr>
          <w:rFonts w:ascii="Cambria" w:hAnsi="Cambria" w:cs="Times New Roman"/>
          <w:lang w:val="en-US"/>
        </w:rPr>
        <w:t>d</w:t>
      </w:r>
      <w:r w:rsidR="00E471A8" w:rsidRPr="00E24A66">
        <w:rPr>
          <w:rFonts w:ascii="Cambria" w:hAnsi="Cambria" w:cs="Times New Roman"/>
          <w:lang w:val="en-US"/>
        </w:rPr>
        <w:t xml:space="preserve">) </w:t>
      </w:r>
      <w:r w:rsidRPr="00E24A66">
        <w:rPr>
          <w:rFonts w:ascii="Cambria" w:hAnsi="Cambria" w:cs="Times New Roman"/>
          <w:lang w:val="en-US"/>
        </w:rPr>
        <w:t>p</w:t>
      </w:r>
      <w:r w:rsidR="00E471A8" w:rsidRPr="00E24A66">
        <w:rPr>
          <w:rFonts w:ascii="Cambria" w:hAnsi="Cambria" w:cs="Times New Roman"/>
          <w:lang w:val="en-US"/>
        </w:rPr>
        <w:t>eople-to</w:t>
      </w:r>
      <w:r w:rsidR="00754A73" w:rsidRPr="00E24A66">
        <w:rPr>
          <w:rFonts w:ascii="Cambria" w:hAnsi="Cambria" w:cs="Times New Roman"/>
          <w:lang w:val="en-US"/>
        </w:rPr>
        <w:t>-</w:t>
      </w:r>
      <w:r w:rsidRPr="00E24A66">
        <w:rPr>
          <w:rFonts w:ascii="Cambria" w:hAnsi="Cambria" w:cs="Times New Roman"/>
          <w:lang w:val="en-US"/>
        </w:rPr>
        <w:t>p</w:t>
      </w:r>
      <w:r w:rsidR="00E471A8" w:rsidRPr="00E24A66">
        <w:rPr>
          <w:rFonts w:ascii="Cambria" w:hAnsi="Cambria" w:cs="Times New Roman"/>
          <w:lang w:val="en-US"/>
        </w:rPr>
        <w:t>eople</w:t>
      </w:r>
      <w:r w:rsidRPr="00E24A66">
        <w:rPr>
          <w:rFonts w:ascii="Cambria" w:hAnsi="Cambria" w:cs="Times New Roman"/>
          <w:lang w:val="en-US"/>
        </w:rPr>
        <w:t xml:space="preserve"> </w:t>
      </w:r>
      <w:r w:rsidR="001839B5">
        <w:rPr>
          <w:rFonts w:ascii="Cambria" w:hAnsi="Cambria" w:cs="Times New Roman"/>
          <w:lang w:val="en-US"/>
        </w:rPr>
        <w:t>projects</w:t>
      </w:r>
      <w:r w:rsidR="00E471A8" w:rsidRPr="00E24A66">
        <w:rPr>
          <w:rFonts w:ascii="Cambria" w:hAnsi="Cambria" w:cs="Times New Roman"/>
          <w:lang w:val="en-US"/>
        </w:rPr>
        <w:t>.</w:t>
      </w:r>
      <w:r w:rsidR="00165D23" w:rsidRPr="00E24A66">
        <w:rPr>
          <w:rFonts w:ascii="Cambria" w:hAnsi="Cambria" w:cs="Times New Roman"/>
          <w:lang w:val="en-US"/>
        </w:rPr>
        <w:t xml:space="preserve"> </w:t>
      </w:r>
      <w:r w:rsidR="00746E25">
        <w:rPr>
          <w:rFonts w:ascii="Cambria" w:hAnsi="Cambria" w:cs="Times New Roman"/>
          <w:lang w:val="en-US"/>
        </w:rPr>
        <w:t>In addition, we have divided the</w:t>
      </w:r>
      <w:r w:rsidR="00746E25" w:rsidRPr="00E24A66">
        <w:rPr>
          <w:rFonts w:ascii="Cambria" w:hAnsi="Cambria" w:cs="Times New Roman"/>
          <w:lang w:val="en-US"/>
        </w:rPr>
        <w:t xml:space="preserve"> </w:t>
      </w:r>
      <w:r w:rsidRPr="00E24A66">
        <w:rPr>
          <w:rFonts w:ascii="Cambria" w:hAnsi="Cambria" w:cs="Times New Roman"/>
          <w:lang w:val="en-US"/>
        </w:rPr>
        <w:t>t</w:t>
      </w:r>
      <w:r w:rsidR="00165D23" w:rsidRPr="00E24A66">
        <w:rPr>
          <w:rFonts w:ascii="Cambria" w:hAnsi="Cambria" w:cs="Times New Roman"/>
          <w:lang w:val="en-US"/>
        </w:rPr>
        <w:t xml:space="preserve">rade </w:t>
      </w:r>
      <w:r w:rsidR="009428CE" w:rsidRPr="00E24A66">
        <w:rPr>
          <w:rFonts w:ascii="Cambria" w:hAnsi="Cambria" w:cs="Times New Roman"/>
          <w:lang w:val="en-US"/>
        </w:rPr>
        <w:t xml:space="preserve">promotion and industrial development </w:t>
      </w:r>
      <w:r w:rsidR="00165D23" w:rsidRPr="00E24A66">
        <w:rPr>
          <w:rFonts w:ascii="Cambria" w:hAnsi="Cambria" w:cs="Times New Roman"/>
          <w:lang w:val="en-US"/>
        </w:rPr>
        <w:t xml:space="preserve">category </w:t>
      </w:r>
      <w:r w:rsidR="00746E25">
        <w:rPr>
          <w:rFonts w:ascii="Cambria" w:hAnsi="Cambria" w:cs="Times New Roman"/>
          <w:lang w:val="en-US"/>
        </w:rPr>
        <w:t>into four sub-categories</w:t>
      </w:r>
      <w:r w:rsidR="009428CE" w:rsidRPr="00E24A66">
        <w:rPr>
          <w:rFonts w:ascii="Cambria" w:hAnsi="Cambria" w:cs="Times New Roman"/>
          <w:lang w:val="en-US"/>
        </w:rPr>
        <w:t xml:space="preserve">: (a) </w:t>
      </w:r>
      <w:r w:rsidR="001839B5" w:rsidRPr="00E24A66">
        <w:rPr>
          <w:rFonts w:ascii="Cambria" w:hAnsi="Cambria" w:cs="Times New Roman"/>
          <w:lang w:val="en-US"/>
        </w:rPr>
        <w:t xml:space="preserve">mineral and </w:t>
      </w:r>
      <w:r w:rsidR="001839B5">
        <w:rPr>
          <w:rFonts w:ascii="Cambria" w:hAnsi="Cambria" w:cs="Times New Roman"/>
          <w:lang w:val="en-US"/>
        </w:rPr>
        <w:t>petroleum</w:t>
      </w:r>
      <w:r w:rsidR="001839B5" w:rsidRPr="00E24A66">
        <w:rPr>
          <w:rFonts w:ascii="Cambria" w:hAnsi="Cambria" w:cs="Times New Roman"/>
          <w:lang w:val="en-US"/>
        </w:rPr>
        <w:t xml:space="preserve"> exploration, development and processing </w:t>
      </w:r>
      <w:r w:rsidR="009428CE" w:rsidRPr="00E24A66">
        <w:rPr>
          <w:rFonts w:ascii="Cambria" w:hAnsi="Cambria" w:cs="Times New Roman"/>
          <w:lang w:val="en-US"/>
        </w:rPr>
        <w:t>(b) industry</w:t>
      </w:r>
      <w:r w:rsidR="00F25DC0">
        <w:rPr>
          <w:rFonts w:ascii="Cambria" w:hAnsi="Cambria" w:cs="Times New Roman"/>
          <w:lang w:val="en-US"/>
        </w:rPr>
        <w:t xml:space="preserve">, </w:t>
      </w:r>
      <w:r w:rsidR="009428CE" w:rsidRPr="00E24A66">
        <w:rPr>
          <w:rFonts w:ascii="Cambria" w:hAnsi="Cambria" w:cs="Times New Roman"/>
          <w:lang w:val="en-US"/>
        </w:rPr>
        <w:t xml:space="preserve">(c) finance </w:t>
      </w:r>
      <w:r w:rsidR="00824DE6">
        <w:rPr>
          <w:rFonts w:ascii="Cambria" w:hAnsi="Cambria" w:cs="Times New Roman"/>
          <w:lang w:val="en-US"/>
        </w:rPr>
        <w:t>and IT</w:t>
      </w:r>
      <w:r w:rsidR="00A5494B">
        <w:rPr>
          <w:rFonts w:ascii="Cambria" w:hAnsi="Cambria" w:cs="Times New Roman"/>
          <w:lang w:val="en-US"/>
        </w:rPr>
        <w:t>,</w:t>
      </w:r>
      <w:r w:rsidR="009428CE" w:rsidRPr="00E24A66">
        <w:rPr>
          <w:rFonts w:ascii="Cambria" w:hAnsi="Cambria" w:cs="Times New Roman"/>
          <w:lang w:val="en-US"/>
        </w:rPr>
        <w:t xml:space="preserve"> and (d) </w:t>
      </w:r>
      <w:r w:rsidR="001839B5" w:rsidRPr="00E24A66">
        <w:rPr>
          <w:rFonts w:ascii="Cambria" w:hAnsi="Cambria" w:cs="Times New Roman"/>
          <w:lang w:val="en-US"/>
        </w:rPr>
        <w:t>agriculture and food</w:t>
      </w:r>
      <w:r w:rsidR="000C1D69" w:rsidRPr="00E24A66">
        <w:rPr>
          <w:rFonts w:ascii="Cambria" w:hAnsi="Cambria" w:cs="Times New Roman"/>
          <w:lang w:val="en-US"/>
        </w:rPr>
        <w:t>.</w:t>
      </w:r>
      <w:r w:rsidR="0066071D" w:rsidRPr="00E24A66">
        <w:rPr>
          <w:rFonts w:ascii="Cambria" w:hAnsi="Cambria" w:cs="Times New Roman"/>
          <w:lang w:val="en-US"/>
        </w:rPr>
        <w:t xml:space="preserve"> Because </w:t>
      </w:r>
      <w:r w:rsidRPr="00E24A66">
        <w:rPr>
          <w:rFonts w:ascii="Cambria" w:hAnsi="Cambria" w:cs="Times New Roman"/>
          <w:lang w:val="en-US"/>
        </w:rPr>
        <w:t>t</w:t>
      </w:r>
      <w:r w:rsidR="0066071D" w:rsidRPr="00E24A66">
        <w:rPr>
          <w:rFonts w:ascii="Cambria" w:hAnsi="Cambria" w:cs="Times New Roman"/>
          <w:lang w:val="en-US"/>
        </w:rPr>
        <w:t>rade</w:t>
      </w:r>
      <w:r w:rsidRPr="00E24A66">
        <w:rPr>
          <w:rFonts w:ascii="Cambria" w:hAnsi="Cambria" w:cs="Times New Roman"/>
          <w:lang w:val="en-US"/>
        </w:rPr>
        <w:t xml:space="preserve"> p</w:t>
      </w:r>
      <w:r w:rsidR="00C772EA" w:rsidRPr="00E24A66">
        <w:rPr>
          <w:rFonts w:ascii="Cambria" w:hAnsi="Cambria" w:cs="Times New Roman"/>
          <w:lang w:val="en-US"/>
        </w:rPr>
        <w:t xml:space="preserve">romotion and </w:t>
      </w:r>
      <w:r w:rsidRPr="00E24A66">
        <w:rPr>
          <w:rFonts w:ascii="Cambria" w:hAnsi="Cambria" w:cs="Times New Roman"/>
          <w:lang w:val="en-US"/>
        </w:rPr>
        <w:t>i</w:t>
      </w:r>
      <w:r w:rsidR="00C772EA" w:rsidRPr="00E24A66">
        <w:rPr>
          <w:rFonts w:ascii="Cambria" w:hAnsi="Cambria" w:cs="Times New Roman"/>
          <w:lang w:val="en-US"/>
        </w:rPr>
        <w:t xml:space="preserve">ndustrial </w:t>
      </w:r>
      <w:r w:rsidRPr="00E24A66">
        <w:rPr>
          <w:rFonts w:ascii="Cambria" w:hAnsi="Cambria" w:cs="Times New Roman"/>
          <w:lang w:val="en-US"/>
        </w:rPr>
        <w:t>d</w:t>
      </w:r>
      <w:r w:rsidR="00C772EA" w:rsidRPr="00E24A66">
        <w:rPr>
          <w:rFonts w:ascii="Cambria" w:hAnsi="Cambria" w:cs="Times New Roman"/>
          <w:lang w:val="en-US"/>
        </w:rPr>
        <w:t>evelopment</w:t>
      </w:r>
      <w:r w:rsidRPr="00E24A66">
        <w:rPr>
          <w:rFonts w:ascii="Cambria" w:hAnsi="Cambria" w:cs="Times New Roman"/>
          <w:lang w:val="en-US"/>
        </w:rPr>
        <w:t xml:space="preserve"> are</w:t>
      </w:r>
      <w:r w:rsidR="0066071D" w:rsidRPr="00E24A66">
        <w:rPr>
          <w:rFonts w:ascii="Cambria" w:hAnsi="Cambria" w:cs="Times New Roman"/>
          <w:lang w:val="en-US"/>
        </w:rPr>
        <w:t xml:space="preserve"> </w:t>
      </w:r>
      <w:r w:rsidR="007B055D">
        <w:rPr>
          <w:rFonts w:ascii="Cambria" w:hAnsi="Cambria" w:cs="Times New Roman"/>
          <w:lang w:val="en-US"/>
        </w:rPr>
        <w:t>one of the four official categories of BRI projects</w:t>
      </w:r>
      <w:r w:rsidR="0066071D" w:rsidRPr="00E24A66">
        <w:rPr>
          <w:rFonts w:ascii="Cambria" w:hAnsi="Cambria" w:cs="Times New Roman"/>
          <w:lang w:val="en-US"/>
        </w:rPr>
        <w:t xml:space="preserve">, </w:t>
      </w:r>
      <w:r w:rsidR="007B055D">
        <w:rPr>
          <w:rFonts w:ascii="Cambria" w:hAnsi="Cambria" w:cs="Times New Roman"/>
          <w:lang w:val="en-US"/>
        </w:rPr>
        <w:t xml:space="preserve">we present numbers for both </w:t>
      </w:r>
      <w:r w:rsidR="001839B5">
        <w:rPr>
          <w:rFonts w:ascii="Cambria" w:hAnsi="Cambria" w:cs="Times New Roman"/>
          <w:lang w:val="en-US"/>
        </w:rPr>
        <w:t xml:space="preserve">the main category  and </w:t>
      </w:r>
      <w:r w:rsidR="00BD4AD4">
        <w:rPr>
          <w:rFonts w:ascii="Cambria" w:hAnsi="Cambria" w:cs="Times New Roman"/>
          <w:lang w:val="en-US"/>
        </w:rPr>
        <w:t>its</w:t>
      </w:r>
      <w:r w:rsidR="007B055D">
        <w:rPr>
          <w:rFonts w:ascii="Cambria" w:hAnsi="Cambria" w:cs="Times New Roman"/>
          <w:lang w:val="en-US"/>
        </w:rPr>
        <w:t xml:space="preserve"> sub-categories</w:t>
      </w:r>
      <w:r w:rsidR="0066071D" w:rsidRPr="00E24A66">
        <w:rPr>
          <w:rFonts w:ascii="Cambria" w:hAnsi="Cambria" w:cs="Times New Roman"/>
          <w:lang w:val="en-US"/>
        </w:rPr>
        <w:t>.</w:t>
      </w:r>
    </w:p>
    <w:p w14:paraId="49C5CDA6" w14:textId="248FA024" w:rsidR="00D97143" w:rsidRPr="00E24A66" w:rsidRDefault="00D97143" w:rsidP="00D97143">
      <w:pPr>
        <w:spacing w:line="240" w:lineRule="auto"/>
        <w:ind w:firstLine="708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>This publication is part of a series of data articles on Chinese projects in Central Asia</w:t>
      </w:r>
      <w:r w:rsidR="00F867A0">
        <w:rPr>
          <w:rFonts w:ascii="Cambria" w:hAnsi="Cambria" w:cs="Times New Roman"/>
          <w:lang w:val="en-US"/>
        </w:rPr>
        <w:t xml:space="preserve"> (see CADGAT data articles no. 21-27)</w:t>
      </w:r>
      <w:r w:rsidRPr="00E24A66">
        <w:rPr>
          <w:rFonts w:ascii="Cambria" w:hAnsi="Cambria" w:cs="Times New Roman"/>
          <w:lang w:val="en-US"/>
        </w:rPr>
        <w:t xml:space="preserve">. </w:t>
      </w:r>
      <w:r w:rsidR="007B055D">
        <w:rPr>
          <w:rFonts w:ascii="Cambria" w:hAnsi="Cambria" w:cs="Times New Roman"/>
          <w:lang w:val="en-US"/>
        </w:rPr>
        <w:t>It</w:t>
      </w:r>
      <w:r w:rsidRPr="00E24A66">
        <w:rPr>
          <w:rFonts w:ascii="Cambria" w:hAnsi="Cambria" w:cs="Times New Roman"/>
          <w:lang w:val="en-US"/>
        </w:rPr>
        <w:t xml:space="preserve"> </w:t>
      </w:r>
      <w:proofErr w:type="spellStart"/>
      <w:r w:rsidR="00B73201" w:rsidRPr="00E24A66">
        <w:rPr>
          <w:rFonts w:ascii="Cambria" w:hAnsi="Cambria" w:cs="Times New Roman"/>
          <w:lang w:val="en-US"/>
        </w:rPr>
        <w:t>sum</w:t>
      </w:r>
      <w:r w:rsidR="00B73201">
        <w:rPr>
          <w:rFonts w:ascii="Cambria" w:hAnsi="Cambria" w:cs="Times New Roman"/>
          <w:lang w:val="en-US"/>
        </w:rPr>
        <w:t>marises</w:t>
      </w:r>
      <w:proofErr w:type="spellEnd"/>
      <w:r w:rsidR="00B73201">
        <w:rPr>
          <w:rFonts w:ascii="Cambria" w:hAnsi="Cambria" w:cs="Times New Roman"/>
          <w:lang w:val="en-US"/>
        </w:rPr>
        <w:t xml:space="preserve"> </w:t>
      </w:r>
      <w:r w:rsidRPr="00E24A66">
        <w:rPr>
          <w:rFonts w:ascii="Cambria" w:hAnsi="Cambria" w:cs="Times New Roman"/>
          <w:lang w:val="en-US"/>
        </w:rPr>
        <w:t xml:space="preserve">some key numbers across sectors, </w:t>
      </w:r>
      <w:r w:rsidR="00754A73" w:rsidRPr="00E24A66">
        <w:rPr>
          <w:rFonts w:ascii="Cambria" w:hAnsi="Cambria" w:cs="Times New Roman"/>
          <w:lang w:val="en-US"/>
        </w:rPr>
        <w:t xml:space="preserve">whereas </w:t>
      </w:r>
      <w:r w:rsidRPr="00E24A66">
        <w:rPr>
          <w:rFonts w:ascii="Cambria" w:hAnsi="Cambria" w:cs="Times New Roman"/>
          <w:lang w:val="en-US"/>
        </w:rPr>
        <w:t>the other</w:t>
      </w:r>
      <w:r w:rsidR="00754A73" w:rsidRPr="00E24A66">
        <w:rPr>
          <w:rFonts w:ascii="Cambria" w:hAnsi="Cambria" w:cs="Times New Roman"/>
          <w:lang w:val="en-US"/>
        </w:rPr>
        <w:t xml:space="preserve"> articles in the series</w:t>
      </w:r>
      <w:r w:rsidRPr="00E24A66">
        <w:rPr>
          <w:rFonts w:ascii="Cambria" w:hAnsi="Cambria" w:cs="Times New Roman"/>
          <w:lang w:val="en-US"/>
        </w:rPr>
        <w:t xml:space="preserve"> contain more detailed overviews of </w:t>
      </w:r>
      <w:r w:rsidR="007B055D">
        <w:rPr>
          <w:rFonts w:ascii="Cambria" w:hAnsi="Cambria" w:cs="Times New Roman"/>
          <w:lang w:val="en-US"/>
        </w:rPr>
        <w:t>BRI projects</w:t>
      </w:r>
      <w:r w:rsidR="00BD4AD4">
        <w:rPr>
          <w:rFonts w:ascii="Cambria" w:hAnsi="Cambria" w:cs="Times New Roman"/>
          <w:lang w:val="en-US"/>
        </w:rPr>
        <w:t xml:space="preserve"> in</w:t>
      </w:r>
      <w:r w:rsidR="007B055D">
        <w:rPr>
          <w:rFonts w:ascii="Cambria" w:hAnsi="Cambria" w:cs="Times New Roman"/>
          <w:lang w:val="en-US"/>
        </w:rPr>
        <w:t xml:space="preserve"> </w:t>
      </w:r>
      <w:r w:rsidRPr="00E24A66">
        <w:rPr>
          <w:rFonts w:ascii="Cambria" w:hAnsi="Cambria" w:cs="Times New Roman"/>
          <w:lang w:val="en-US"/>
        </w:rPr>
        <w:t xml:space="preserve">specific sectors. All the data are also available in a unified database in </w:t>
      </w:r>
      <w:r w:rsidR="00754A73" w:rsidRPr="00E24A66">
        <w:rPr>
          <w:rFonts w:ascii="Cambria" w:hAnsi="Cambria" w:cs="Times New Roman"/>
          <w:lang w:val="en-US"/>
        </w:rPr>
        <w:t>E</w:t>
      </w:r>
      <w:r w:rsidRPr="00E24A66">
        <w:rPr>
          <w:rFonts w:ascii="Cambria" w:hAnsi="Cambria" w:cs="Times New Roman"/>
          <w:lang w:val="en-US"/>
        </w:rPr>
        <w:t xml:space="preserve">xcel format </w:t>
      </w:r>
      <w:r w:rsidR="00B73201">
        <w:rPr>
          <w:rFonts w:ascii="Cambria" w:hAnsi="Cambria" w:cs="Times New Roman"/>
          <w:lang w:val="en-US"/>
        </w:rPr>
        <w:t>at:</w:t>
      </w:r>
      <w:r w:rsidRPr="00E24A66">
        <w:rPr>
          <w:rFonts w:ascii="Cambria" w:hAnsi="Cambria" w:cs="Times New Roman"/>
          <w:lang w:val="en-US"/>
        </w:rPr>
        <w:t xml:space="preserve"> </w:t>
      </w:r>
    </w:p>
    <w:p w14:paraId="0271A0BE" w14:textId="77777777" w:rsidR="004D64AB" w:rsidRPr="00295E37" w:rsidRDefault="00DB4AB6" w:rsidP="00D97143">
      <w:pPr>
        <w:spacing w:line="240" w:lineRule="auto"/>
        <w:rPr>
          <w:rStyle w:val="Hyperlink"/>
          <w:rFonts w:ascii="Cambria" w:hAnsi="Cambria" w:cs="Times New Roman"/>
          <w:color w:val="0D0D0D" w:themeColor="text1" w:themeTint="F2"/>
          <w:lang w:val="en-US"/>
        </w:rPr>
      </w:pPr>
      <w:hyperlink r:id="rId16" w:history="1">
        <w:r w:rsidR="00D97143" w:rsidRPr="00295E37">
          <w:rPr>
            <w:rStyle w:val="Hyperlink"/>
            <w:rFonts w:ascii="Cambria" w:hAnsi="Cambria" w:cs="Times New Roman"/>
            <w:color w:val="0D0D0D" w:themeColor="text1" w:themeTint="F2"/>
            <w:lang w:val="en-US"/>
          </w:rPr>
          <w:t>http://osce-academy.net/en/research/cadgat/</w:t>
        </w:r>
      </w:hyperlink>
    </w:p>
    <w:p w14:paraId="64748546" w14:textId="77777777" w:rsidR="003631A8" w:rsidRDefault="003631A8" w:rsidP="00D97143">
      <w:pPr>
        <w:spacing w:line="240" w:lineRule="auto"/>
        <w:rPr>
          <w:rStyle w:val="Hyperlink"/>
          <w:rFonts w:ascii="Cambria" w:hAnsi="Cambria" w:cs="Times New Roman"/>
          <w:lang w:val="en-US"/>
        </w:rPr>
      </w:pPr>
    </w:p>
    <w:p w14:paraId="15CBF8E1" w14:textId="2C549C35" w:rsidR="003631A8" w:rsidRPr="005A1E57" w:rsidRDefault="00FB20A3" w:rsidP="003631A8">
      <w:pPr>
        <w:spacing w:line="240" w:lineRule="auto"/>
        <w:rPr>
          <w:rFonts w:ascii="Cambria" w:hAnsi="Cambria" w:cs="Times New Roman"/>
          <w:b/>
          <w:bCs/>
          <w:lang w:val="en-US"/>
        </w:rPr>
      </w:pPr>
      <w:r>
        <w:rPr>
          <w:rFonts w:ascii="Cambria" w:hAnsi="Cambria" w:cs="Times New Roman"/>
          <w:b/>
          <w:bCs/>
          <w:lang w:val="en-US"/>
        </w:rPr>
        <w:t>Definitions</w:t>
      </w:r>
    </w:p>
    <w:p w14:paraId="3CD7B2ED" w14:textId="56077955" w:rsidR="003631A8" w:rsidRDefault="003631A8" w:rsidP="003631A8">
      <w:pPr>
        <w:spacing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Financing</w:t>
      </w:r>
      <w:r>
        <w:rPr>
          <w:rFonts w:ascii="Cambria" w:hAnsi="Cambria" w:cs="Times New Roman"/>
          <w:b/>
          <w:bCs/>
          <w:lang w:val="en-US"/>
        </w:rPr>
        <w:t xml:space="preserve"> </w:t>
      </w:r>
      <w:r w:rsidRPr="003631A8">
        <w:rPr>
          <w:rFonts w:ascii="Cambria" w:hAnsi="Cambria" w:cs="Times New Roman"/>
          <w:lang w:val="en-US"/>
        </w:rPr>
        <w:t>– Sources of funding for each project are identified and presented.</w:t>
      </w:r>
    </w:p>
    <w:p w14:paraId="1FE1398D" w14:textId="70C2EBC3" w:rsidR="003631A8" w:rsidRDefault="003631A8" w:rsidP="003631A8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Commercial interests</w:t>
      </w:r>
      <w:r>
        <w:rPr>
          <w:rFonts w:ascii="Cambria" w:hAnsi="Cambria" w:cs="Times New Roman"/>
          <w:lang w:val="en-US"/>
        </w:rPr>
        <w:t xml:space="preserve"> – A project is classified as “commercial”, if </w:t>
      </w:r>
      <w:r w:rsidR="00FB20A3">
        <w:rPr>
          <w:rFonts w:ascii="Cambria" w:hAnsi="Cambria" w:cs="Times New Roman"/>
          <w:lang w:val="en-US"/>
        </w:rPr>
        <w:t xml:space="preserve">the </w:t>
      </w:r>
      <w:r>
        <w:rPr>
          <w:rFonts w:ascii="Cambria" w:hAnsi="Cambria" w:cs="Times New Roman"/>
          <w:lang w:val="en-US"/>
        </w:rPr>
        <w:t xml:space="preserve">parties promoting </w:t>
      </w:r>
      <w:r w:rsidR="00FB20A3">
        <w:rPr>
          <w:rFonts w:ascii="Cambria" w:hAnsi="Cambria" w:cs="Times New Roman"/>
          <w:lang w:val="en-US"/>
        </w:rPr>
        <w:t xml:space="preserve">it </w:t>
      </w:r>
      <w:r>
        <w:rPr>
          <w:rFonts w:ascii="Cambria" w:hAnsi="Cambria" w:cs="Times New Roman"/>
          <w:lang w:val="en-US"/>
        </w:rPr>
        <w:t>primarily pursue commercial goals.</w:t>
      </w:r>
    </w:p>
    <w:p w14:paraId="74185BCE" w14:textId="3445180D" w:rsidR="00976E84" w:rsidRDefault="003631A8" w:rsidP="00976E84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Strategic interests</w:t>
      </w:r>
      <w:r>
        <w:rPr>
          <w:rFonts w:ascii="Cambria" w:hAnsi="Cambria" w:cs="Times New Roman"/>
          <w:lang w:val="en-US"/>
        </w:rPr>
        <w:t xml:space="preserve"> – </w:t>
      </w:r>
      <w:r w:rsidRPr="003631A8">
        <w:rPr>
          <w:rFonts w:ascii="Cambria" w:hAnsi="Cambria" w:cs="Times New Roman"/>
          <w:lang w:val="en-US"/>
        </w:rPr>
        <w:t xml:space="preserve">A project is classified as </w:t>
      </w:r>
      <w:r>
        <w:rPr>
          <w:rFonts w:ascii="Cambria" w:hAnsi="Cambria" w:cs="Times New Roman"/>
          <w:lang w:val="en-US"/>
        </w:rPr>
        <w:t xml:space="preserve">“strategic”, if it fits one of the broader </w:t>
      </w:r>
      <w:r w:rsidR="00FB20A3">
        <w:rPr>
          <w:rFonts w:ascii="Cambria" w:hAnsi="Cambria" w:cs="Times New Roman"/>
          <w:lang w:val="en-US"/>
        </w:rPr>
        <w:t>categories</w:t>
      </w:r>
      <w:r>
        <w:rPr>
          <w:rFonts w:ascii="Cambria" w:hAnsi="Cambria" w:cs="Times New Roman"/>
          <w:lang w:val="en-US"/>
        </w:rPr>
        <w:t>, particularly strengthening connectivity.</w:t>
      </w:r>
    </w:p>
    <w:p w14:paraId="56456278" w14:textId="09B0D9E3" w:rsidR="003631A8" w:rsidRDefault="003631A8" w:rsidP="00976E84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Connection to BRI</w:t>
      </w:r>
      <w:r>
        <w:rPr>
          <w:rFonts w:ascii="Cambria" w:hAnsi="Cambria" w:cs="Times New Roman"/>
          <w:lang w:val="en-US"/>
        </w:rPr>
        <w:t xml:space="preserve"> – If a project </w:t>
      </w:r>
      <w:r w:rsidR="00FB20A3">
        <w:rPr>
          <w:rFonts w:ascii="Cambria" w:hAnsi="Cambria" w:cs="Times New Roman"/>
          <w:lang w:val="en-US"/>
        </w:rPr>
        <w:t xml:space="preserve">is </w:t>
      </w:r>
      <w:r>
        <w:rPr>
          <w:rFonts w:ascii="Cambria" w:hAnsi="Cambria" w:cs="Times New Roman"/>
          <w:lang w:val="en-US"/>
        </w:rPr>
        <w:t>announced publicly as part of BRI, then it is classified as a “BRI project”.</w:t>
      </w:r>
    </w:p>
    <w:p w14:paraId="285AA0E8" w14:textId="641FF4F9" w:rsidR="003631A8" w:rsidRDefault="003631A8" w:rsidP="003631A8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Local project</w:t>
      </w:r>
      <w:r>
        <w:rPr>
          <w:rFonts w:ascii="Cambria" w:hAnsi="Cambria" w:cs="Times New Roman"/>
          <w:lang w:val="en-US"/>
        </w:rPr>
        <w:t xml:space="preserve"> – A project is classified as “local”, if </w:t>
      </w:r>
      <w:r w:rsidR="00EC6540">
        <w:rPr>
          <w:rFonts w:ascii="Cambria" w:hAnsi="Cambria" w:cs="Times New Roman"/>
          <w:lang w:val="en-US"/>
        </w:rPr>
        <w:t xml:space="preserve">the </w:t>
      </w:r>
      <w:r>
        <w:rPr>
          <w:rFonts w:ascii="Cambria" w:hAnsi="Cambria" w:cs="Times New Roman"/>
          <w:lang w:val="en-US"/>
        </w:rPr>
        <w:t>infrastructure or facility constructed and services provided</w:t>
      </w:r>
      <w:r w:rsidR="00EC6540">
        <w:rPr>
          <w:rFonts w:ascii="Cambria" w:hAnsi="Cambria" w:cs="Times New Roman"/>
          <w:lang w:val="en-US"/>
        </w:rPr>
        <w:t>,</w:t>
      </w:r>
      <w:r>
        <w:rPr>
          <w:rFonts w:ascii="Cambria" w:hAnsi="Cambria" w:cs="Times New Roman"/>
          <w:lang w:val="en-US"/>
        </w:rPr>
        <w:t xml:space="preserve"> are limited to a </w:t>
      </w:r>
      <w:r w:rsidR="00365389">
        <w:rPr>
          <w:rFonts w:ascii="Cambria" w:hAnsi="Cambria" w:cs="Times New Roman"/>
          <w:lang w:val="en-US"/>
        </w:rPr>
        <w:t xml:space="preserve">specific </w:t>
      </w:r>
      <w:r w:rsidR="00844C4F">
        <w:rPr>
          <w:rFonts w:ascii="Cambria" w:hAnsi="Cambria" w:cs="Times New Roman"/>
          <w:lang w:val="en-US"/>
        </w:rPr>
        <w:t>country</w:t>
      </w:r>
      <w:r>
        <w:rPr>
          <w:rFonts w:ascii="Cambria" w:hAnsi="Cambria" w:cs="Times New Roman"/>
          <w:lang w:val="en-US"/>
        </w:rPr>
        <w:t>.</w:t>
      </w:r>
    </w:p>
    <w:p w14:paraId="1E1BB77B" w14:textId="3905D258" w:rsidR="003631A8" w:rsidRPr="00127978" w:rsidRDefault="003631A8" w:rsidP="003631A8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Regional project</w:t>
      </w:r>
      <w:r>
        <w:rPr>
          <w:rFonts w:ascii="Cambria" w:hAnsi="Cambria" w:cs="Times New Roman"/>
          <w:lang w:val="en-US"/>
        </w:rPr>
        <w:t xml:space="preserve"> – A project is classified as “regional”, if it is part of the bigger regional initiative</w:t>
      </w:r>
      <w:r w:rsidR="00EC6540">
        <w:rPr>
          <w:rFonts w:ascii="Cambria" w:hAnsi="Cambria" w:cs="Times New Roman"/>
          <w:lang w:val="en-US"/>
        </w:rPr>
        <w:t>,</w:t>
      </w:r>
      <w:r w:rsidR="00C60BDB">
        <w:rPr>
          <w:rFonts w:ascii="Cambria" w:hAnsi="Cambria" w:cs="Times New Roman"/>
          <w:lang w:val="en-US"/>
        </w:rPr>
        <w:t xml:space="preserve"> </w:t>
      </w:r>
      <w:r>
        <w:rPr>
          <w:rFonts w:ascii="Cambria" w:hAnsi="Cambria" w:cs="Times New Roman"/>
          <w:lang w:val="en-US"/>
        </w:rPr>
        <w:t xml:space="preserve">which includes </w:t>
      </w:r>
      <w:r w:rsidR="00C60BDB">
        <w:rPr>
          <w:rFonts w:ascii="Cambria" w:hAnsi="Cambria" w:cs="Times New Roman"/>
          <w:lang w:val="en-US"/>
        </w:rPr>
        <w:t>more than</w:t>
      </w:r>
      <w:r>
        <w:rPr>
          <w:rFonts w:ascii="Cambria" w:hAnsi="Cambria" w:cs="Times New Roman"/>
          <w:lang w:val="en-US"/>
        </w:rPr>
        <w:t xml:space="preserve"> one country.</w:t>
      </w:r>
    </w:p>
    <w:p w14:paraId="1D05A4A4" w14:textId="21AF24C8" w:rsidR="003631A8" w:rsidRDefault="003631A8" w:rsidP="003631A8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Bilateral</w:t>
      </w:r>
      <w:r w:rsidR="00C60BDB">
        <w:rPr>
          <w:rFonts w:ascii="Cambria" w:hAnsi="Cambria" w:cs="Times New Roman"/>
          <w:b/>
          <w:bCs/>
          <w:lang w:val="en-US"/>
        </w:rPr>
        <w:t xml:space="preserve"> </w:t>
      </w:r>
      <w:r>
        <w:rPr>
          <w:rFonts w:ascii="Cambria" w:hAnsi="Cambria" w:cs="Times New Roman"/>
          <w:lang w:val="en-US"/>
        </w:rPr>
        <w:t xml:space="preserve">– </w:t>
      </w:r>
      <w:r w:rsidR="00C60BDB">
        <w:rPr>
          <w:rFonts w:ascii="Cambria" w:hAnsi="Cambria" w:cs="Times New Roman"/>
          <w:lang w:val="en-US"/>
        </w:rPr>
        <w:t>A project is classified as “bilateral”, if a</w:t>
      </w:r>
      <w:r>
        <w:rPr>
          <w:rFonts w:ascii="Cambria" w:hAnsi="Cambria" w:cs="Times New Roman"/>
          <w:lang w:val="en-US"/>
        </w:rPr>
        <w:t>n agreement for project implementation is signed by the Chinese government or a Chinese company</w:t>
      </w:r>
      <w:r w:rsidR="00EC6540">
        <w:rPr>
          <w:rFonts w:ascii="Cambria" w:hAnsi="Cambria" w:cs="Times New Roman"/>
          <w:lang w:val="en-US"/>
        </w:rPr>
        <w:t>, as one party,</w:t>
      </w:r>
      <w:r>
        <w:rPr>
          <w:rFonts w:ascii="Cambria" w:hAnsi="Cambria" w:cs="Times New Roman"/>
          <w:lang w:val="en-US"/>
        </w:rPr>
        <w:t xml:space="preserve"> and one of the Central Asian governments or companies</w:t>
      </w:r>
      <w:r w:rsidR="00EC6540">
        <w:rPr>
          <w:rFonts w:ascii="Cambria" w:hAnsi="Cambria" w:cs="Times New Roman"/>
          <w:lang w:val="en-US"/>
        </w:rPr>
        <w:t xml:space="preserve"> as the other</w:t>
      </w:r>
      <w:r>
        <w:rPr>
          <w:rFonts w:ascii="Cambria" w:hAnsi="Cambria" w:cs="Times New Roman"/>
          <w:lang w:val="en-US"/>
        </w:rPr>
        <w:t>.</w:t>
      </w:r>
    </w:p>
    <w:p w14:paraId="71A3B1C7" w14:textId="0A268E26" w:rsidR="00FA0255" w:rsidRPr="00FA0255" w:rsidRDefault="003631A8" w:rsidP="00FA0255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Multilateral</w:t>
      </w:r>
      <w:r w:rsidR="00C60BDB">
        <w:rPr>
          <w:rFonts w:ascii="Cambria" w:hAnsi="Cambria" w:cs="Times New Roman"/>
          <w:b/>
          <w:bCs/>
          <w:lang w:val="en-US"/>
        </w:rPr>
        <w:t xml:space="preserve"> </w:t>
      </w:r>
      <w:r>
        <w:rPr>
          <w:rFonts w:ascii="Cambria" w:hAnsi="Cambria" w:cs="Times New Roman"/>
          <w:lang w:val="en-US"/>
        </w:rPr>
        <w:t xml:space="preserve">– </w:t>
      </w:r>
      <w:r w:rsidR="00C60BDB">
        <w:rPr>
          <w:rFonts w:ascii="Cambria" w:hAnsi="Cambria" w:cs="Times New Roman"/>
          <w:lang w:val="en-US"/>
        </w:rPr>
        <w:t>A project is classified as “multilateral”, if a</w:t>
      </w:r>
      <w:r>
        <w:rPr>
          <w:rFonts w:ascii="Cambria" w:hAnsi="Cambria" w:cs="Times New Roman"/>
          <w:lang w:val="en-US"/>
        </w:rPr>
        <w:t xml:space="preserve">n agreement for project implementation is signed by three or more parties, including </w:t>
      </w:r>
      <w:r w:rsidR="00EC6540">
        <w:rPr>
          <w:rFonts w:ascii="Cambria" w:hAnsi="Cambria" w:cs="Times New Roman"/>
          <w:lang w:val="en-US"/>
        </w:rPr>
        <w:t xml:space="preserve">the </w:t>
      </w:r>
      <w:r>
        <w:rPr>
          <w:rFonts w:ascii="Cambria" w:hAnsi="Cambria" w:cs="Times New Roman"/>
          <w:lang w:val="en-US"/>
        </w:rPr>
        <w:t>Chinese or Central Asian governments, multilateral financial institutions (</w:t>
      </w:r>
      <w:r w:rsidR="002F4736">
        <w:rPr>
          <w:rFonts w:ascii="Cambria" w:hAnsi="Cambria" w:cs="Times New Roman"/>
          <w:lang w:val="en-US"/>
        </w:rPr>
        <w:t>AIIB</w:t>
      </w:r>
      <w:r w:rsidRPr="001539E0">
        <w:rPr>
          <w:rFonts w:ascii="Cambria" w:hAnsi="Cambria" w:cs="Times New Roman"/>
          <w:lang w:val="en-US"/>
        </w:rPr>
        <w:t>, China Development Bank</w:t>
      </w:r>
      <w:r>
        <w:rPr>
          <w:rFonts w:ascii="Cambria" w:hAnsi="Cambria" w:cs="Times New Roman"/>
          <w:lang w:val="en-US"/>
        </w:rPr>
        <w:t xml:space="preserve">, </w:t>
      </w:r>
      <w:r w:rsidRPr="001539E0">
        <w:rPr>
          <w:rFonts w:ascii="Cambria" w:hAnsi="Cambria" w:cs="Times New Roman"/>
          <w:lang w:val="en-US"/>
        </w:rPr>
        <w:t>Export</w:t>
      </w:r>
      <w:r>
        <w:rPr>
          <w:rFonts w:ascii="Cambria" w:hAnsi="Cambria" w:cs="Times New Roman"/>
          <w:lang w:val="en-US"/>
        </w:rPr>
        <w:t>–</w:t>
      </w:r>
      <w:r w:rsidRPr="001539E0">
        <w:rPr>
          <w:rFonts w:ascii="Cambria" w:hAnsi="Cambria" w:cs="Times New Roman"/>
          <w:lang w:val="en-US"/>
        </w:rPr>
        <w:t>Import Bank of China</w:t>
      </w:r>
      <w:r w:rsidR="002F4736" w:rsidRPr="002F4736">
        <w:rPr>
          <w:rFonts w:ascii="Cambria" w:hAnsi="Cambria" w:cs="Times New Roman"/>
          <w:lang w:val="en-US"/>
        </w:rPr>
        <w:t xml:space="preserve"> </w:t>
      </w:r>
      <w:r w:rsidR="002F4736">
        <w:rPr>
          <w:rFonts w:ascii="Cambria" w:hAnsi="Cambria" w:cs="Times New Roman"/>
          <w:lang w:val="en-US"/>
        </w:rPr>
        <w:t xml:space="preserve">or </w:t>
      </w:r>
      <w:r w:rsidR="002F4736" w:rsidRPr="001539E0">
        <w:rPr>
          <w:rFonts w:ascii="Cambria" w:hAnsi="Cambria" w:cs="Times New Roman"/>
          <w:lang w:val="en-US"/>
        </w:rPr>
        <w:t>New Silk Road Fund</w:t>
      </w:r>
      <w:r>
        <w:rPr>
          <w:rFonts w:ascii="Cambria" w:hAnsi="Cambria" w:cs="Times New Roman"/>
          <w:lang w:val="en-US"/>
        </w:rPr>
        <w:t>) and private enterprises.</w:t>
      </w:r>
    </w:p>
    <w:p w14:paraId="69490B87" w14:textId="77777777" w:rsidR="00FA0255" w:rsidRDefault="00FA0255" w:rsidP="003631A8">
      <w:pPr>
        <w:spacing w:before="120" w:line="240" w:lineRule="auto"/>
        <w:rPr>
          <w:rFonts w:ascii="Cambria" w:hAnsi="Cambria" w:cs="Times New Roman"/>
          <w:lang w:val="en-US"/>
        </w:rPr>
      </w:pPr>
    </w:p>
    <w:p w14:paraId="7948A0A2" w14:textId="77777777" w:rsidR="003631A8" w:rsidRPr="001539E0" w:rsidRDefault="003631A8" w:rsidP="003631A8">
      <w:pPr>
        <w:spacing w:line="240" w:lineRule="auto"/>
        <w:rPr>
          <w:rFonts w:ascii="Cambria" w:hAnsi="Cambria" w:cs="Times New Roman"/>
          <w:lang w:val="en-US"/>
        </w:rPr>
      </w:pPr>
    </w:p>
    <w:p w14:paraId="66B79B1B" w14:textId="6529B6A7" w:rsidR="003631A8" w:rsidRPr="001539E0" w:rsidRDefault="003631A8" w:rsidP="00D97143">
      <w:pPr>
        <w:spacing w:line="240" w:lineRule="auto"/>
        <w:rPr>
          <w:rFonts w:ascii="Cambria" w:hAnsi="Cambria" w:cs="Times New Roman"/>
          <w:lang w:val="en-US"/>
        </w:rPr>
        <w:sectPr w:rsidR="003631A8" w:rsidRPr="001539E0" w:rsidSect="00A47FB8">
          <w:type w:val="continuous"/>
          <w:pgSz w:w="11906" w:h="16838"/>
          <w:pgMar w:top="1440" w:right="1080" w:bottom="1440" w:left="1080" w:header="709" w:footer="709" w:gutter="0"/>
          <w:cols w:num="2" w:space="284"/>
          <w:docGrid w:linePitch="360"/>
        </w:sectPr>
      </w:pPr>
    </w:p>
    <w:p w14:paraId="1B391831" w14:textId="32DB55E1" w:rsidR="004D64AB" w:rsidRPr="001539E0" w:rsidRDefault="004D64AB" w:rsidP="00CD005D">
      <w:pPr>
        <w:spacing w:line="240" w:lineRule="auto"/>
        <w:rPr>
          <w:rFonts w:asciiTheme="majorHAnsi" w:hAnsiTheme="majorHAnsi" w:cs="Times New Roman"/>
          <w:lang w:val="en-US"/>
        </w:rPr>
      </w:pPr>
      <w:r w:rsidRPr="001539E0">
        <w:rPr>
          <w:rFonts w:asciiTheme="majorHAnsi" w:hAnsiTheme="majorHAnsi" w:cs="Times New Roman"/>
          <w:lang w:val="en-US"/>
        </w:rPr>
        <w:lastRenderedPageBreak/>
        <w:t xml:space="preserve">Table 1. </w:t>
      </w:r>
      <w:r w:rsidR="009E4A67">
        <w:rPr>
          <w:rFonts w:asciiTheme="majorHAnsi" w:hAnsiTheme="majorHAnsi" w:cs="Times New Roman"/>
          <w:lang w:val="en-US"/>
        </w:rPr>
        <w:t xml:space="preserve">Number of </w:t>
      </w:r>
      <w:r w:rsidR="006F488E">
        <w:rPr>
          <w:rFonts w:asciiTheme="majorHAnsi" w:hAnsiTheme="majorHAnsi" w:cs="Times New Roman"/>
          <w:lang w:val="en-US"/>
        </w:rPr>
        <w:t xml:space="preserve">China’s </w:t>
      </w:r>
      <w:r w:rsidRPr="001539E0">
        <w:rPr>
          <w:rFonts w:asciiTheme="majorHAnsi" w:hAnsiTheme="majorHAnsi" w:cs="Times New Roman"/>
          <w:lang w:val="en-US"/>
        </w:rPr>
        <w:t xml:space="preserve">BRI and </w:t>
      </w:r>
      <w:r w:rsidR="006F488E">
        <w:rPr>
          <w:rFonts w:asciiTheme="majorHAnsi" w:hAnsiTheme="majorHAnsi" w:cs="Times New Roman"/>
          <w:lang w:val="en-US"/>
        </w:rPr>
        <w:t>b</w:t>
      </w:r>
      <w:r w:rsidRPr="001539E0">
        <w:rPr>
          <w:rFonts w:asciiTheme="majorHAnsi" w:hAnsiTheme="majorHAnsi" w:cs="Times New Roman"/>
          <w:lang w:val="en-US"/>
        </w:rPr>
        <w:t xml:space="preserve">ilateral </w:t>
      </w:r>
      <w:r w:rsidR="006F488E">
        <w:rPr>
          <w:rFonts w:asciiTheme="majorHAnsi" w:hAnsiTheme="majorHAnsi" w:cs="Times New Roman"/>
          <w:lang w:val="en-US"/>
        </w:rPr>
        <w:t>p</w:t>
      </w:r>
      <w:r w:rsidRPr="001539E0">
        <w:rPr>
          <w:rFonts w:asciiTheme="majorHAnsi" w:hAnsiTheme="majorHAnsi" w:cs="Times New Roman"/>
          <w:lang w:val="en-US"/>
        </w:rPr>
        <w:t>rojects in Central Asia</w:t>
      </w:r>
    </w:p>
    <w:p w14:paraId="5242FDF3" w14:textId="77777777" w:rsidR="004D64AB" w:rsidRPr="001539E0" w:rsidRDefault="004D64AB" w:rsidP="00B20D46">
      <w:pPr>
        <w:spacing w:line="120" w:lineRule="exact"/>
        <w:ind w:left="709"/>
        <w:rPr>
          <w:rFonts w:asciiTheme="majorHAnsi" w:hAnsiTheme="majorHAnsi" w:cs="Times New Roman"/>
          <w:b/>
          <w:i/>
          <w:lang w:val="en-US"/>
        </w:rPr>
      </w:pPr>
    </w:p>
    <w:tbl>
      <w:tblPr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275"/>
        <w:gridCol w:w="1134"/>
        <w:gridCol w:w="1134"/>
        <w:gridCol w:w="1418"/>
      </w:tblGrid>
      <w:tr w:rsidR="00E741B7" w:rsidRPr="00437C86" w14:paraId="28187526" w14:textId="77777777" w:rsidTr="009D25CF">
        <w:trPr>
          <w:trHeight w:val="74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861D328" w14:textId="46C282F0" w:rsidR="00E741B7" w:rsidRPr="00E30204" w:rsidRDefault="009E4A6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Sectors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76AEDDF3" w14:textId="77777777" w:rsidR="009D25CF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Total</w:t>
            </w:r>
            <w:r w:rsidR="009D25C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 number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BEEB10C" w14:textId="0FEF9EE1" w:rsidR="00E741B7" w:rsidRPr="00437C86" w:rsidRDefault="00B73201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by</w:t>
            </w:r>
            <w:r w:rsidR="00E741B7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 sector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F0AFB96" w14:textId="77777777" w:rsidR="00E741B7" w:rsidRPr="00437C86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362AEB8" w14:textId="77777777" w:rsidR="00E741B7" w:rsidRPr="00437C86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BD57AD2" w14:textId="77777777" w:rsidR="00E741B7" w:rsidRPr="00437C86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52167623" w14:textId="4BDE65BA" w:rsidR="00E741B7" w:rsidRPr="00437C86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7D5AA0C" w14:textId="508F1E2A" w:rsidR="00E741B7" w:rsidRPr="00437C86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Turkmenistan</w:t>
            </w:r>
          </w:p>
        </w:tc>
      </w:tr>
      <w:tr w:rsidR="00E30204" w:rsidRPr="00437C86" w14:paraId="2A80EC94" w14:textId="77777777" w:rsidTr="00E30204">
        <w:trPr>
          <w:trHeight w:val="271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DFF01BE" w14:textId="1EF7CF0E" w:rsidR="00E30204" w:rsidRP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Total by country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AF2A419" w14:textId="3BF0B16A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B2E01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98E3743" w14:textId="1BD30168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102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FEAD98F" w14:textId="08E9BAB7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FA92315" w14:textId="09ACC059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F79102" w14:textId="435BBCD8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6B3B832" w14:textId="3168923F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E30204" w:rsidRPr="00437C86" w14:paraId="4164837E" w14:textId="77777777" w:rsidTr="003800D0">
        <w:trPr>
          <w:trHeight w:val="201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F1922BB" w14:textId="03FB3D54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Trade and industrial development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25635E0" w14:textId="0E863B99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13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05DB953" w14:textId="4EA90D0F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69B952B" w14:textId="4666E64B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9B681BE" w14:textId="749DB006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9C17CF" w14:textId="6076BBC8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44A4C78" w14:textId="460ECD2F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12</w:t>
            </w:r>
          </w:p>
        </w:tc>
      </w:tr>
      <w:tr w:rsidR="00E30204" w:rsidRPr="00437C86" w14:paraId="5095384C" w14:textId="77777777" w:rsidTr="003800D0">
        <w:trPr>
          <w:trHeight w:val="201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32E1E69" w14:textId="69F3738C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Rail and r</w:t>
            </w: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oad connectivity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3B5166DB" w14:textId="6567DA75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CE3A8B0" w14:textId="5C34B9BB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4CB4C92" w14:textId="6DC63092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6452E59" w14:textId="6742319F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0FAD61" w14:textId="71767FD8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F7B19B0" w14:textId="6A136E90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</w:tr>
      <w:tr w:rsidR="00E30204" w:rsidRPr="00437C86" w14:paraId="576A0945" w14:textId="77777777" w:rsidTr="00225513">
        <w:trPr>
          <w:trHeight w:val="171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F00C09C" w14:textId="76657695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Energy connectivity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AE9E827" w14:textId="57C70E35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A7C04F3" w14:textId="5958862F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2D69D84" w14:textId="3420A798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E65B67C" w14:textId="63CA48FC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AA3497" w14:textId="3867DADE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F166B3E" w14:textId="70BDA9A0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4</w:t>
            </w:r>
          </w:p>
        </w:tc>
      </w:tr>
      <w:tr w:rsidR="00E30204" w:rsidRPr="00437C86" w14:paraId="2A9F5CE5" w14:textId="77777777" w:rsidTr="00E30204">
        <w:trPr>
          <w:trHeight w:val="326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A5012F3" w14:textId="4D70B935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437C86">
              <w:rPr>
                <w:rFonts w:asciiTheme="majorHAnsi" w:hAnsiTheme="majorHAnsi" w:cs="Times New Roman"/>
                <w:sz w:val="18"/>
                <w:szCs w:val="18"/>
              </w:rPr>
              <w:t>People-to</w:t>
            </w:r>
            <w:proofErr w:type="spellEnd"/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437C86">
              <w:rPr>
                <w:rFonts w:asciiTheme="majorHAnsi" w:hAnsiTheme="majorHAnsi" w:cs="Times New Roman"/>
                <w:sz w:val="18"/>
                <w:szCs w:val="18"/>
              </w:rPr>
              <w:t>people</w:t>
            </w:r>
            <w:proofErr w:type="spellEnd"/>
            <w:r w:rsidRPr="00437C86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projects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CF3F6BB" w14:textId="5B8990CE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64D207A" w14:textId="575D22E9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E3B92A" w14:textId="211E34E6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6438016" w14:textId="4F8F8586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5359AD" w14:textId="1892ADB0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695A131" w14:textId="435FEF78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</w:tr>
      <w:tr w:rsidR="00E30204" w:rsidRPr="00437C86" w14:paraId="27EFF75F" w14:textId="77777777" w:rsidTr="003800D0">
        <w:trPr>
          <w:trHeight w:val="338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545BA40" w14:textId="7155F6D5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F07136D" w14:textId="32A14EBA" w:rsidR="00E30204" w:rsidRPr="000B2E01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80FED5" w14:textId="799DB7CE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8BD211A" w14:textId="4A59FF23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AAB8F53" w14:textId="647DD4CF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2073A0" w14:textId="490BCB2A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2A65BCA" w14:textId="11B432C1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B7D3C0D" w14:textId="36CA7057" w:rsidR="00CD005D" w:rsidRDefault="00CD005D" w:rsidP="00CD005D">
      <w:pPr>
        <w:spacing w:line="240" w:lineRule="auto"/>
        <w:ind w:left="708"/>
        <w:jc w:val="center"/>
        <w:rPr>
          <w:rFonts w:asciiTheme="majorHAnsi" w:hAnsiTheme="majorHAnsi" w:cs="Times New Roman"/>
          <w:lang w:val="en-US"/>
        </w:rPr>
      </w:pPr>
    </w:p>
    <w:p w14:paraId="0F4478D9" w14:textId="50DCDBFF" w:rsidR="00E80F39" w:rsidRDefault="00E80F39" w:rsidP="00CD005D">
      <w:pPr>
        <w:spacing w:line="240" w:lineRule="auto"/>
        <w:ind w:left="708"/>
        <w:jc w:val="center"/>
        <w:rPr>
          <w:rFonts w:asciiTheme="majorHAnsi" w:hAnsiTheme="majorHAnsi" w:cs="Times New Roman"/>
          <w:lang w:val="en-US"/>
        </w:rPr>
      </w:pPr>
    </w:p>
    <w:p w14:paraId="43F0A432" w14:textId="77777777" w:rsidR="00E80F39" w:rsidRDefault="00E80F39" w:rsidP="00CD005D">
      <w:pPr>
        <w:spacing w:line="240" w:lineRule="auto"/>
        <w:ind w:left="708"/>
        <w:jc w:val="center"/>
        <w:rPr>
          <w:rFonts w:asciiTheme="majorHAnsi" w:hAnsiTheme="majorHAnsi" w:cs="Times New Roman"/>
          <w:lang w:val="en-US"/>
        </w:rPr>
      </w:pPr>
    </w:p>
    <w:p w14:paraId="39F7CE6B" w14:textId="77777777" w:rsidR="00F0726A" w:rsidRDefault="00F0726A" w:rsidP="00CD005D">
      <w:pPr>
        <w:spacing w:line="240" w:lineRule="auto"/>
        <w:rPr>
          <w:rFonts w:asciiTheme="majorHAnsi" w:hAnsiTheme="majorHAnsi" w:cs="Times New Roman"/>
          <w:lang w:val="en-US"/>
        </w:rPr>
      </w:pPr>
    </w:p>
    <w:p w14:paraId="1BB7C93C" w14:textId="42BF5CBC" w:rsidR="00CD005D" w:rsidRPr="001539E0" w:rsidRDefault="00CD005D" w:rsidP="00CD005D">
      <w:pPr>
        <w:spacing w:line="240" w:lineRule="auto"/>
        <w:rPr>
          <w:rFonts w:asciiTheme="majorHAnsi" w:hAnsiTheme="majorHAnsi" w:cs="Times New Roman"/>
          <w:lang w:val="en-US"/>
        </w:rPr>
      </w:pPr>
      <w:r w:rsidRPr="001539E0">
        <w:rPr>
          <w:rFonts w:asciiTheme="majorHAnsi" w:hAnsiTheme="majorHAnsi" w:cs="Times New Roman"/>
          <w:lang w:val="en-US"/>
        </w:rPr>
        <w:t xml:space="preserve">Table </w:t>
      </w:r>
      <w:r w:rsidR="00F0726A">
        <w:rPr>
          <w:rFonts w:asciiTheme="majorHAnsi" w:hAnsiTheme="majorHAnsi" w:cs="Times New Roman"/>
          <w:lang w:val="en-US"/>
        </w:rPr>
        <w:t>2.</w:t>
      </w:r>
      <w:r w:rsidRPr="001539E0">
        <w:rPr>
          <w:rFonts w:asciiTheme="majorHAnsi" w:hAnsiTheme="majorHAnsi" w:cs="Times New Roman"/>
          <w:lang w:val="en-US"/>
        </w:rPr>
        <w:t xml:space="preserve"> </w:t>
      </w:r>
      <w:r w:rsidR="00F0726A">
        <w:rPr>
          <w:rFonts w:asciiTheme="majorHAnsi" w:hAnsiTheme="majorHAnsi" w:cs="Times New Roman"/>
          <w:lang w:val="en-US"/>
        </w:rPr>
        <w:t xml:space="preserve">Breakdown of </w:t>
      </w:r>
      <w:r w:rsidR="00B20D46">
        <w:rPr>
          <w:rFonts w:asciiTheme="majorHAnsi" w:hAnsiTheme="majorHAnsi" w:cs="Times New Roman"/>
          <w:lang w:val="en-US"/>
        </w:rPr>
        <w:t xml:space="preserve">China’s </w:t>
      </w:r>
      <w:r w:rsidR="00B20D46" w:rsidRPr="001539E0">
        <w:rPr>
          <w:rFonts w:asciiTheme="majorHAnsi" w:hAnsiTheme="majorHAnsi" w:cs="Times New Roman"/>
          <w:lang w:val="en-US"/>
        </w:rPr>
        <w:t xml:space="preserve">BRI and </w:t>
      </w:r>
      <w:r w:rsidR="00B20D46">
        <w:rPr>
          <w:rFonts w:asciiTheme="majorHAnsi" w:hAnsiTheme="majorHAnsi" w:cs="Times New Roman"/>
          <w:lang w:val="en-US"/>
        </w:rPr>
        <w:t>b</w:t>
      </w:r>
      <w:r w:rsidR="00B20D46" w:rsidRPr="001539E0">
        <w:rPr>
          <w:rFonts w:asciiTheme="majorHAnsi" w:hAnsiTheme="majorHAnsi" w:cs="Times New Roman"/>
          <w:lang w:val="en-US"/>
        </w:rPr>
        <w:t xml:space="preserve">ilateral </w:t>
      </w:r>
      <w:r w:rsidR="00F0726A">
        <w:rPr>
          <w:rFonts w:asciiTheme="majorHAnsi" w:hAnsiTheme="majorHAnsi" w:cs="Times New Roman"/>
          <w:lang w:val="en-US"/>
        </w:rPr>
        <w:t>t</w:t>
      </w:r>
      <w:r w:rsidR="00F0726A" w:rsidRPr="00F0726A">
        <w:rPr>
          <w:rFonts w:asciiTheme="majorHAnsi" w:hAnsiTheme="majorHAnsi" w:cs="Times New Roman"/>
          <w:lang w:val="en-US"/>
        </w:rPr>
        <w:t>rade and industrial development</w:t>
      </w:r>
      <w:r w:rsidR="00F0726A">
        <w:rPr>
          <w:rFonts w:asciiTheme="majorHAnsi" w:hAnsiTheme="majorHAnsi" w:cs="Times New Roman"/>
          <w:lang w:val="en-US"/>
        </w:rPr>
        <w:t xml:space="preserve"> projects</w:t>
      </w:r>
    </w:p>
    <w:p w14:paraId="619C8154" w14:textId="77777777" w:rsidR="00CD005D" w:rsidRPr="001539E0" w:rsidRDefault="00CD005D" w:rsidP="00B20D46">
      <w:pPr>
        <w:spacing w:line="120" w:lineRule="exact"/>
        <w:rPr>
          <w:rFonts w:asciiTheme="majorHAnsi" w:hAnsiTheme="majorHAnsi" w:cs="Times New Roman"/>
          <w:b/>
          <w:i/>
          <w:lang w:val="en-US"/>
        </w:rPr>
      </w:pP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275"/>
        <w:gridCol w:w="1134"/>
        <w:gridCol w:w="1560"/>
        <w:gridCol w:w="1275"/>
      </w:tblGrid>
      <w:tr w:rsidR="00CD005D" w:rsidRPr="00437C86" w14:paraId="4538152D" w14:textId="77777777" w:rsidTr="003800D0">
        <w:trPr>
          <w:trHeight w:val="33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C1A6A94" w14:textId="3D251249" w:rsidR="00CD005D" w:rsidRPr="00E30204" w:rsidRDefault="009E4A67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Sectors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4C53440A" w14:textId="77777777" w:rsidR="001E5797" w:rsidRPr="00E30204" w:rsidRDefault="00CD005D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Total </w:t>
            </w:r>
            <w:r w:rsidR="001E5797" w:rsidRPr="00E3020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number </w:t>
            </w:r>
          </w:p>
          <w:p w14:paraId="2C777B4B" w14:textId="7C1BA9F0" w:rsidR="00CD005D" w:rsidRPr="00437C86" w:rsidRDefault="00CD005D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by sector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EC1C9AE" w14:textId="77777777" w:rsidR="00CD005D" w:rsidRPr="00437C86" w:rsidRDefault="00CD005D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B630574" w14:textId="13A1578C" w:rsidR="00CD005D" w:rsidRPr="00437C86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0D52D0C" w14:textId="77777777" w:rsidR="00CD005D" w:rsidRPr="00437C86" w:rsidRDefault="00CD005D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D2E1395" w14:textId="41D03F1F" w:rsidR="00CD005D" w:rsidRPr="00437C86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BB1F607" w14:textId="77777777" w:rsidR="00CD005D" w:rsidRPr="00437C86" w:rsidRDefault="00CD005D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Turkmenistan</w:t>
            </w:r>
          </w:p>
        </w:tc>
      </w:tr>
    </w:tbl>
    <w:p w14:paraId="55E10BE6" w14:textId="77777777" w:rsidR="00655C06" w:rsidRDefault="00655C06" w:rsidP="00CD005D">
      <w:pPr>
        <w:spacing w:line="120" w:lineRule="exact"/>
        <w:rPr>
          <w:rFonts w:ascii="Cambria" w:hAnsi="Cambria" w:cs="Times New Roman"/>
          <w:lang w:val="en-US"/>
        </w:rPr>
      </w:pP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275"/>
        <w:gridCol w:w="1134"/>
        <w:gridCol w:w="1560"/>
        <w:gridCol w:w="1275"/>
      </w:tblGrid>
      <w:tr w:rsidR="00492EB1" w:rsidRPr="00437C86" w14:paraId="0931984E" w14:textId="77777777" w:rsidTr="003800D0">
        <w:trPr>
          <w:trHeight w:val="471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5BAAB38" w14:textId="77777777" w:rsidR="00492EB1" w:rsidRPr="004C2720" w:rsidRDefault="00492EB1" w:rsidP="003600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Trade and industrial development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5476B0C" w14:textId="3AE9E6B2" w:rsidR="00492EB1" w:rsidRPr="000816A3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13</w:t>
            </w:r>
            <w:r w:rsidR="00BA528D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FE26DD2" w14:textId="77777777" w:rsidR="00492EB1" w:rsidRPr="00437C86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C9BEF8C" w14:textId="422902CC" w:rsidR="00492EB1" w:rsidRPr="00437C86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541BB08" w14:textId="77777777" w:rsidR="00492EB1" w:rsidRPr="00437C86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B0EE69" w14:textId="005F0AD9" w:rsidR="00492EB1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  <w:r w:rsidR="00FD24F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FB6F714" w14:textId="77777777" w:rsidR="00492EB1" w:rsidRPr="00437C86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12</w:t>
            </w:r>
          </w:p>
        </w:tc>
      </w:tr>
      <w:tr w:rsidR="00492EB1" w:rsidRPr="00C317B6" w14:paraId="21E4F616" w14:textId="77777777" w:rsidTr="003800D0">
        <w:trPr>
          <w:trHeight w:val="435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AC9A3D" w14:textId="26BE1E2E" w:rsidR="00492EB1" w:rsidRPr="00F0726A" w:rsidRDefault="00F0726A" w:rsidP="003600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i/>
                <w:sz w:val="16"/>
                <w:szCs w:val="16"/>
                <w:lang w:val="en-GB"/>
              </w:rPr>
            </w:pPr>
            <w:r w:rsidRPr="00F0726A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 xml:space="preserve">Mineral </w:t>
            </w:r>
            <w:r w:rsidR="00694059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 xml:space="preserve">and petroleum </w:t>
            </w:r>
            <w:r w:rsidRPr="00F0726A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>exploration, extraction and processing projects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EA5EEF3" w14:textId="77777777" w:rsidR="00492EB1" w:rsidRPr="00E30204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CCC37B" w14:textId="77777777" w:rsidR="00492EB1" w:rsidRPr="00CD005D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0743268" w14:textId="2143BB70" w:rsidR="00492EB1" w:rsidRPr="00CD005D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4BE88C3" w14:textId="77777777" w:rsidR="00492EB1" w:rsidRPr="00CD005D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917788" w14:textId="63F43D93" w:rsidR="00492EB1" w:rsidRPr="00CD005D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3A37C51" w14:textId="77777777" w:rsidR="00492EB1" w:rsidRPr="00CD005D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7</w:t>
            </w:r>
          </w:p>
        </w:tc>
      </w:tr>
      <w:tr w:rsidR="000D4F5B" w:rsidRPr="00C317B6" w14:paraId="798E9C52" w14:textId="77777777" w:rsidTr="003800D0">
        <w:trPr>
          <w:trHeight w:val="236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69EB2F9" w14:textId="789ABE2F" w:rsidR="000D4F5B" w:rsidRPr="00F0726A" w:rsidRDefault="000D4F5B" w:rsidP="000D4F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</w:pPr>
            <w:r w:rsidRPr="00CD005D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>Industry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144C4B7" w14:textId="3908C533" w:rsidR="000D4F5B" w:rsidRPr="00E30204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4</w:t>
            </w:r>
            <w:r w:rsidR="00A64EDD"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63B542E" w14:textId="196E0915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194F49" w14:textId="5A26D5C1" w:rsidR="000D4F5B" w:rsidRPr="00CD005D" w:rsidRDefault="00DB083F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F03A25F" w14:textId="361E1774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790448" w14:textId="1B8C1DBD" w:rsidR="000D4F5B" w:rsidRPr="00CD005D" w:rsidRDefault="00FD24F0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2A61C0B" w14:textId="4F880CFC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NA</w:t>
            </w:r>
          </w:p>
        </w:tc>
      </w:tr>
      <w:tr w:rsidR="000D4F5B" w:rsidRPr="00C317B6" w14:paraId="796FC416" w14:textId="77777777" w:rsidTr="003800D0">
        <w:trPr>
          <w:trHeight w:val="75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C1687B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</w:pPr>
            <w:r w:rsidRPr="00CD005D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>Agriculture and food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1D22342" w14:textId="6B97CE6C" w:rsidR="000D4F5B" w:rsidRPr="00E30204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2</w:t>
            </w:r>
            <w:r w:rsidR="00C9256D"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59F5604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CB3DCC0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B28A7EA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1BE80B9" w14:textId="462EF90A" w:rsidR="000D4F5B" w:rsidRPr="00CD005D" w:rsidDel="00006655" w:rsidRDefault="00FD24F0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45CDBFA" w14:textId="54DD92F7" w:rsidR="000D4F5B" w:rsidRPr="00CD005D" w:rsidRDefault="00301CA6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1</w:t>
            </w:r>
          </w:p>
        </w:tc>
      </w:tr>
      <w:tr w:rsidR="000D4F5B" w:rsidRPr="00C317B6" w14:paraId="36397342" w14:textId="77777777" w:rsidTr="005252E4">
        <w:trPr>
          <w:trHeight w:val="67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827005E" w14:textId="53AD2865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</w:pPr>
            <w:r w:rsidRPr="00CD005D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>Finance and</w:t>
            </w:r>
            <w:r w:rsidR="00824DE6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 xml:space="preserve"> IT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B45E5F2" w14:textId="02D32221" w:rsidR="000D4F5B" w:rsidRPr="00E30204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1</w:t>
            </w:r>
            <w:r w:rsidR="00C71B99"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3935FE9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7D3562B" w14:textId="6861B3E8" w:rsidR="000D4F5B" w:rsidRPr="00CD005D" w:rsidRDefault="00DB083F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NA</w:t>
            </w:r>
            <w:r w:rsidRPr="00CD005D">
              <w:rPr>
                <w:rStyle w:val="FootnoteReference"/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19D985E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EB4BCD" w14:textId="797A32C6" w:rsidR="000D4F5B" w:rsidRPr="00CD005D" w:rsidRDefault="0079624D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EC7E8C3" w14:textId="535BFD86" w:rsidR="000D4F5B" w:rsidRPr="00CD005D" w:rsidRDefault="00301CA6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4</w:t>
            </w:r>
          </w:p>
        </w:tc>
      </w:tr>
    </w:tbl>
    <w:p w14:paraId="4CF29AF9" w14:textId="12301ACD" w:rsidR="00655C06" w:rsidRDefault="00655C06" w:rsidP="001514EC">
      <w:pPr>
        <w:rPr>
          <w:rFonts w:ascii="Cambria" w:hAnsi="Cambria" w:cs="Times New Roman"/>
          <w:lang w:val="en-US"/>
        </w:rPr>
      </w:pPr>
    </w:p>
    <w:p w14:paraId="5A80E3DE" w14:textId="01D7F4D9" w:rsidR="00655C06" w:rsidRDefault="00655C06" w:rsidP="001514EC">
      <w:pPr>
        <w:rPr>
          <w:rFonts w:ascii="Cambria" w:hAnsi="Cambria" w:cs="Times New Roman"/>
          <w:lang w:val="en-US"/>
        </w:rPr>
      </w:pPr>
    </w:p>
    <w:p w14:paraId="54D8E4C6" w14:textId="1FCD65C3" w:rsidR="00E80F39" w:rsidRDefault="00E80F39" w:rsidP="001514EC">
      <w:pPr>
        <w:rPr>
          <w:rFonts w:ascii="Cambria" w:hAnsi="Cambria" w:cs="Times New Roman"/>
          <w:lang w:val="en-US"/>
        </w:rPr>
      </w:pPr>
    </w:p>
    <w:p w14:paraId="25C5AE8D" w14:textId="77777777" w:rsidR="00E80F39" w:rsidRDefault="00E80F39" w:rsidP="001514EC">
      <w:pPr>
        <w:rPr>
          <w:rFonts w:ascii="Cambria" w:hAnsi="Cambria" w:cs="Times New Roman"/>
          <w:lang w:val="en-US"/>
        </w:rPr>
      </w:pPr>
    </w:p>
    <w:p w14:paraId="684E9EF9" w14:textId="77777777" w:rsidR="00F0726A" w:rsidRDefault="00F0726A" w:rsidP="00C65789">
      <w:pPr>
        <w:rPr>
          <w:rFonts w:asciiTheme="majorHAnsi" w:hAnsiTheme="majorHAnsi" w:cs="Times New Roman"/>
          <w:lang w:val="en-US"/>
        </w:rPr>
      </w:pPr>
    </w:p>
    <w:p w14:paraId="2F54A694" w14:textId="51D58A12" w:rsidR="00886298" w:rsidRPr="003B4531" w:rsidRDefault="00886298" w:rsidP="00C65789">
      <w:pPr>
        <w:rPr>
          <w:rFonts w:asciiTheme="majorHAnsi" w:hAnsiTheme="majorHAnsi" w:cs="Times New Roman"/>
          <w:lang w:val="en-US"/>
        </w:rPr>
      </w:pPr>
      <w:r w:rsidRPr="003B4531">
        <w:rPr>
          <w:rFonts w:asciiTheme="majorHAnsi" w:hAnsiTheme="majorHAnsi" w:cs="Times New Roman"/>
          <w:lang w:val="en-US"/>
        </w:rPr>
        <w:t xml:space="preserve">Table </w:t>
      </w:r>
      <w:r w:rsidR="00F0726A" w:rsidRPr="003B4531">
        <w:rPr>
          <w:rFonts w:asciiTheme="majorHAnsi" w:hAnsiTheme="majorHAnsi" w:cs="Times New Roman"/>
          <w:lang w:val="en-US"/>
        </w:rPr>
        <w:t>3</w:t>
      </w:r>
      <w:r w:rsidRPr="003B4531">
        <w:rPr>
          <w:rFonts w:asciiTheme="majorHAnsi" w:hAnsiTheme="majorHAnsi" w:cs="Times New Roman"/>
          <w:lang w:val="en-US"/>
        </w:rPr>
        <w:t xml:space="preserve">. Total </w:t>
      </w:r>
      <w:r w:rsidR="00B73201" w:rsidRPr="003B4531">
        <w:rPr>
          <w:rFonts w:asciiTheme="majorHAnsi" w:hAnsiTheme="majorHAnsi" w:cs="Times New Roman"/>
          <w:lang w:val="en-US"/>
        </w:rPr>
        <w:t>i</w:t>
      </w:r>
      <w:r w:rsidRPr="003B4531">
        <w:rPr>
          <w:rFonts w:asciiTheme="majorHAnsi" w:hAnsiTheme="majorHAnsi" w:cs="Times New Roman"/>
          <w:lang w:val="en-US"/>
        </w:rPr>
        <w:t xml:space="preserve">nvestment </w:t>
      </w:r>
      <w:r w:rsidR="000D4F5B" w:rsidRPr="003B4531">
        <w:rPr>
          <w:rFonts w:asciiTheme="majorHAnsi" w:hAnsiTheme="majorHAnsi" w:cs="Times New Roman"/>
          <w:lang w:val="en-US"/>
        </w:rPr>
        <w:t>of</w:t>
      </w:r>
      <w:r w:rsidR="00CB2CE1" w:rsidRPr="003B4531">
        <w:rPr>
          <w:rFonts w:asciiTheme="majorHAnsi" w:hAnsiTheme="majorHAnsi" w:cs="Times New Roman"/>
          <w:lang w:val="en-US"/>
        </w:rPr>
        <w:t xml:space="preserve"> </w:t>
      </w:r>
      <w:r w:rsidRPr="003B4531">
        <w:rPr>
          <w:rFonts w:asciiTheme="majorHAnsi" w:hAnsiTheme="majorHAnsi" w:cs="Times New Roman"/>
          <w:lang w:val="en-US"/>
        </w:rPr>
        <w:t xml:space="preserve">Chinese </w:t>
      </w:r>
      <w:r w:rsidR="00B73201" w:rsidRPr="003B4531">
        <w:rPr>
          <w:rFonts w:asciiTheme="majorHAnsi" w:hAnsiTheme="majorHAnsi" w:cs="Times New Roman"/>
          <w:lang w:val="en-US"/>
        </w:rPr>
        <w:t>p</w:t>
      </w:r>
      <w:r w:rsidRPr="003B4531">
        <w:rPr>
          <w:rFonts w:asciiTheme="majorHAnsi" w:hAnsiTheme="majorHAnsi" w:cs="Times New Roman"/>
          <w:lang w:val="en-US"/>
        </w:rPr>
        <w:t>rojects in Central Asia</w:t>
      </w:r>
      <w:r w:rsidRPr="003B4531">
        <w:rPr>
          <w:rFonts w:asciiTheme="majorHAnsi" w:hAnsiTheme="majorHAnsi"/>
          <w:lang w:val="en-US"/>
        </w:rPr>
        <w:t xml:space="preserve"> (</w:t>
      </w:r>
      <w:r w:rsidRPr="003B4531">
        <w:rPr>
          <w:rFonts w:asciiTheme="majorHAnsi" w:hAnsiTheme="majorHAnsi" w:cs="Times New Roman"/>
          <w:lang w:val="en-US"/>
        </w:rPr>
        <w:t>USD</w:t>
      </w:r>
      <w:r w:rsidR="00B73201" w:rsidRPr="003B4531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B73201" w:rsidRPr="003B4531">
        <w:rPr>
          <w:rFonts w:asciiTheme="majorHAnsi" w:hAnsiTheme="majorHAnsi" w:cs="Times New Roman"/>
          <w:lang w:val="en-US"/>
        </w:rPr>
        <w:t>mln</w:t>
      </w:r>
      <w:proofErr w:type="spellEnd"/>
      <w:r w:rsidRPr="003B4531">
        <w:rPr>
          <w:rFonts w:asciiTheme="majorHAnsi" w:hAnsiTheme="majorHAnsi" w:cs="Times New Roman"/>
          <w:lang w:val="en-US"/>
        </w:rPr>
        <w:t>)</w:t>
      </w:r>
    </w:p>
    <w:tbl>
      <w:tblPr>
        <w:tblpPr w:leftFromText="180" w:rightFromText="180" w:vertAnchor="text" w:horzAnchor="margin" w:tblpY="140"/>
        <w:tblW w:w="10866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1418"/>
        <w:gridCol w:w="992"/>
        <w:gridCol w:w="1134"/>
        <w:gridCol w:w="851"/>
        <w:gridCol w:w="992"/>
        <w:gridCol w:w="904"/>
        <w:gridCol w:w="1232"/>
        <w:gridCol w:w="986"/>
        <w:gridCol w:w="1314"/>
        <w:gridCol w:w="1043"/>
      </w:tblGrid>
      <w:tr w:rsidR="00B20D46" w:rsidRPr="003B4531" w14:paraId="3210ED47" w14:textId="77777777" w:rsidTr="00B20D46">
        <w:trPr>
          <w:gridAfter w:val="1"/>
          <w:wAfter w:w="1043" w:type="dxa"/>
          <w:trHeight w:val="34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E81E595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8516078" w14:textId="77777777" w:rsidR="00B20D46" w:rsidRPr="00E30204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Total</w:t>
            </w:r>
          </w:p>
          <w:p w14:paraId="04EE9F2F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by country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515D7B6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Rail and road connectivity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A541A81" w14:textId="77777777" w:rsidR="00B20D46" w:rsidRPr="003B4531" w:rsidRDefault="00B20D46" w:rsidP="00B20D4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Energy connectivity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789728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Industry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4EFC3ABA" w14:textId="77777777" w:rsidR="00B20D46" w:rsidRPr="003B4531" w:rsidRDefault="00B20D46" w:rsidP="00B20D4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Agriculture and food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3D65D18E" w14:textId="77777777" w:rsidR="00B20D46" w:rsidRPr="003B4531" w:rsidRDefault="00B20D46" w:rsidP="00B20D4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Mineral and petroleum exploration and processing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06250237" w14:textId="77777777" w:rsidR="00B20D46" w:rsidRPr="003B4531" w:rsidRDefault="00B20D46" w:rsidP="00B20D4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Finance and IT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4D2B259" w14:textId="77777777" w:rsidR="00B20D46" w:rsidRPr="003B4531" w:rsidRDefault="00B20D46" w:rsidP="00B20D4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People-to-people projects</w:t>
            </w:r>
          </w:p>
        </w:tc>
      </w:tr>
      <w:tr w:rsidR="00B20D46" w:rsidRPr="003B4531" w14:paraId="6EEA3372" w14:textId="77777777" w:rsidTr="00B20D46">
        <w:trPr>
          <w:gridAfter w:val="1"/>
          <w:wAfter w:w="1043" w:type="dxa"/>
          <w:trHeight w:val="188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6B9AAD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Total by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119CF8B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251.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63BC22B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499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5D94A7B6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35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693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AF2E4E2" w14:textId="77777777" w:rsidR="00B20D46" w:rsidRPr="00FB6D40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950EF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Pr="00950EF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950EF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299.</w:t>
            </w:r>
            <w:r w:rsidRPr="00950EF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43437DEE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451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0F42E669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55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159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48E008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8 100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6B7A964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46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44</w:t>
            </w:r>
          </w:p>
        </w:tc>
      </w:tr>
      <w:tr w:rsidR="00B20D46" w:rsidRPr="003B4531" w14:paraId="20AB39DB" w14:textId="77777777" w:rsidTr="00B20D46">
        <w:trPr>
          <w:gridAfter w:val="1"/>
          <w:wAfter w:w="1043" w:type="dxa"/>
          <w:trHeight w:val="17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9C49F9D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72C25F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90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862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73B9966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14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539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1CCACD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18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849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40F7479" w14:textId="77777777" w:rsidR="00B20D46" w:rsidRPr="00FB6D40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10 545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.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FF3FA8F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049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DE0070E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 w:eastAsia="ru-RU"/>
              </w:rPr>
            </w:pP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37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778</w:t>
            </w:r>
            <w:r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67B8C63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8 100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CC585CF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</w:tr>
      <w:tr w:rsidR="00B20D46" w:rsidRPr="003B4531" w14:paraId="0D768E8F" w14:textId="77777777" w:rsidTr="00B20D46">
        <w:trPr>
          <w:gridAfter w:val="1"/>
          <w:wAfter w:w="1043" w:type="dxa"/>
          <w:trHeight w:val="156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3D7505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Turkmenistan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632D66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24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842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7758065B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402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6F8C234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9 410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03F0329" w14:textId="77777777" w:rsidR="00B20D46" w:rsidRPr="00FB6D40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C68ED32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06084EF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14 03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1D8A2A2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EE40A92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</w:tr>
      <w:tr w:rsidR="00B20D46" w:rsidRPr="003B4531" w14:paraId="06A41239" w14:textId="77777777" w:rsidTr="00B20D46">
        <w:trPr>
          <w:gridAfter w:val="1"/>
          <w:wAfter w:w="1043" w:type="dxa"/>
          <w:trHeight w:val="174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847BFD2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39693CA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0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518.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2B05E3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4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515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31B0F71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4 516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02C2304" w14:textId="77777777" w:rsidR="00B20D46" w:rsidRPr="00950EF6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679,8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8481671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342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0919330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BC883BB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672A155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</w:tr>
      <w:tr w:rsidR="00B20D46" w:rsidRPr="003B4531" w14:paraId="05306564" w14:textId="77777777" w:rsidTr="00B20D46">
        <w:trPr>
          <w:gridAfter w:val="1"/>
          <w:wAfter w:w="1043" w:type="dxa"/>
          <w:trHeight w:val="200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F5BCE1A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FFE9A8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391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457B1A23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773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EA69C8A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2 713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8D01C37" w14:textId="77777777" w:rsidR="00B20D46" w:rsidRPr="00FB6D40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150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.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2D77220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31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E42111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676</w:t>
            </w:r>
            <w:r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797570F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3F3A5E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46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</w:tr>
      <w:tr w:rsidR="00B20D46" w:rsidRPr="003B4531" w14:paraId="6E1D82DF" w14:textId="77777777" w:rsidTr="00B20D46">
        <w:trPr>
          <w:gridAfter w:val="1"/>
          <w:wAfter w:w="1043" w:type="dxa"/>
          <w:trHeight w:val="263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CAE51F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68B6A1D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4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635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D72BE44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1 269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5FA077A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205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3FDA5D0" w14:textId="77777777" w:rsidR="00B20D46" w:rsidRPr="00FB6D40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923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.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4CF1C3D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28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87B3DC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209</w:t>
            </w:r>
            <w:r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AFDF18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B27BA2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</w:tr>
      <w:tr w:rsidR="00B20D46" w:rsidRPr="003B4531" w14:paraId="3F1ECB69" w14:textId="77777777" w:rsidTr="00B20D46">
        <w:trPr>
          <w:trHeight w:val="349"/>
        </w:trPr>
        <w:tc>
          <w:tcPr>
            <w:tcW w:w="141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7D32860A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164D368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2B31AD7D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BD96316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4DBB1231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1CB5BB6B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02E3B4A4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495B6F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E991533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41CF0C7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72FD9B6" w14:textId="2629F11D" w:rsidR="00B146AB" w:rsidRPr="00B146AB" w:rsidRDefault="00B146AB" w:rsidP="00B146AB">
      <w:pPr>
        <w:spacing w:line="240" w:lineRule="auto"/>
        <w:rPr>
          <w:rFonts w:ascii="Cambria" w:eastAsia="Times New Roman" w:hAnsi="Cambria" w:cs="Calibri"/>
          <w:b/>
          <w:bCs/>
          <w:color w:val="FF0000"/>
          <w:sz w:val="16"/>
          <w:szCs w:val="16"/>
          <w:lang w:val="nb-NO"/>
        </w:rPr>
      </w:pPr>
    </w:p>
    <w:p w14:paraId="28AA5946" w14:textId="77777777" w:rsidR="00A86F99" w:rsidRPr="00A86F99" w:rsidRDefault="00A86F99" w:rsidP="00A86F99">
      <w:pPr>
        <w:rPr>
          <w:rFonts w:asciiTheme="majorHAnsi" w:hAnsiTheme="majorHAnsi" w:cs="Times New Roman"/>
          <w:lang w:val="en-US"/>
        </w:rPr>
      </w:pPr>
    </w:p>
    <w:p w14:paraId="64E59C77" w14:textId="77777777" w:rsidR="00A86F99" w:rsidRPr="00A86F99" w:rsidRDefault="00A86F99" w:rsidP="00A86F99">
      <w:pPr>
        <w:rPr>
          <w:rFonts w:asciiTheme="majorHAnsi" w:hAnsiTheme="majorHAnsi" w:cs="Times New Roman"/>
          <w:lang w:val="en-US"/>
        </w:rPr>
      </w:pPr>
    </w:p>
    <w:p w14:paraId="117CACF4" w14:textId="77777777" w:rsidR="00A86F99" w:rsidRPr="00A86F99" w:rsidRDefault="00A86F99" w:rsidP="00A86F99">
      <w:pPr>
        <w:rPr>
          <w:rFonts w:asciiTheme="majorHAnsi" w:hAnsiTheme="majorHAnsi" w:cs="Times New Roman"/>
          <w:lang w:val="en-US"/>
        </w:rPr>
      </w:pPr>
    </w:p>
    <w:p w14:paraId="7920328C" w14:textId="77777777" w:rsidR="00EA5D63" w:rsidRDefault="00EA5D63" w:rsidP="00C65789">
      <w:pPr>
        <w:spacing w:line="240" w:lineRule="auto"/>
        <w:rPr>
          <w:rFonts w:asciiTheme="majorHAnsi" w:hAnsiTheme="majorHAnsi" w:cs="Times New Roman"/>
          <w:lang w:val="en-US"/>
        </w:rPr>
      </w:pPr>
    </w:p>
    <w:p w14:paraId="2B5F90A7" w14:textId="77777777" w:rsidR="00EA5D63" w:rsidRDefault="00EA5D63" w:rsidP="00C65789">
      <w:pPr>
        <w:spacing w:line="240" w:lineRule="auto"/>
        <w:rPr>
          <w:rFonts w:asciiTheme="majorHAnsi" w:hAnsiTheme="majorHAnsi" w:cs="Times New Roman"/>
          <w:lang w:val="en-US"/>
        </w:rPr>
      </w:pPr>
    </w:p>
    <w:p w14:paraId="1477BB75" w14:textId="44D735D7" w:rsidR="00B20D46" w:rsidRDefault="00B20D46" w:rsidP="00C65789">
      <w:pPr>
        <w:spacing w:line="240" w:lineRule="auto"/>
        <w:rPr>
          <w:rFonts w:asciiTheme="majorHAnsi" w:hAnsiTheme="majorHAnsi" w:cs="Times New Roman"/>
          <w:lang w:val="en-US"/>
        </w:rPr>
      </w:pPr>
    </w:p>
    <w:p w14:paraId="53158E52" w14:textId="505F2AAE" w:rsidR="00BD217D" w:rsidRDefault="00BD217D" w:rsidP="00C65789">
      <w:pPr>
        <w:spacing w:line="240" w:lineRule="auto"/>
        <w:rPr>
          <w:rFonts w:asciiTheme="majorHAnsi" w:hAnsiTheme="majorHAnsi" w:cs="Times New Roman"/>
          <w:lang w:val="en-US"/>
        </w:rPr>
      </w:pPr>
      <w:r w:rsidRPr="00240CBD">
        <w:rPr>
          <w:rFonts w:asciiTheme="majorHAnsi" w:hAnsiTheme="majorHAnsi" w:cs="Times New Roman"/>
          <w:lang w:val="en-US"/>
        </w:rPr>
        <w:t xml:space="preserve">Table </w:t>
      </w:r>
      <w:r w:rsidR="00F0726A">
        <w:rPr>
          <w:rFonts w:asciiTheme="majorHAnsi" w:hAnsiTheme="majorHAnsi" w:cs="Times New Roman"/>
          <w:lang w:val="en-US"/>
        </w:rPr>
        <w:t>4</w:t>
      </w:r>
      <w:r w:rsidRPr="00240CBD">
        <w:rPr>
          <w:rFonts w:asciiTheme="majorHAnsi" w:hAnsiTheme="majorHAnsi" w:cs="Times New Roman"/>
          <w:lang w:val="en-US"/>
        </w:rPr>
        <w:t xml:space="preserve">. </w:t>
      </w:r>
      <w:r w:rsidR="00240CBD">
        <w:rPr>
          <w:rFonts w:asciiTheme="majorHAnsi" w:hAnsiTheme="majorHAnsi" w:cs="Times New Roman"/>
          <w:lang w:val="en-US"/>
        </w:rPr>
        <w:t xml:space="preserve">Number of </w:t>
      </w:r>
      <w:r w:rsidR="006F488E">
        <w:rPr>
          <w:rFonts w:asciiTheme="majorHAnsi" w:hAnsiTheme="majorHAnsi" w:cs="Times New Roman"/>
          <w:lang w:val="en-US"/>
        </w:rPr>
        <w:t>b</w:t>
      </w:r>
      <w:r w:rsidRPr="00240CBD">
        <w:rPr>
          <w:rFonts w:asciiTheme="majorHAnsi" w:hAnsiTheme="majorHAnsi" w:cs="Times New Roman"/>
          <w:lang w:val="en-US"/>
        </w:rPr>
        <w:t xml:space="preserve">ilateral </w:t>
      </w:r>
      <w:r w:rsidR="00754A73" w:rsidRPr="00240CBD">
        <w:rPr>
          <w:rFonts w:asciiTheme="majorHAnsi" w:hAnsiTheme="majorHAnsi" w:cs="Times New Roman"/>
          <w:lang w:val="en-US"/>
        </w:rPr>
        <w:t>vs.</w:t>
      </w:r>
      <w:r w:rsidRPr="00240CBD">
        <w:rPr>
          <w:rFonts w:asciiTheme="majorHAnsi" w:hAnsiTheme="majorHAnsi" w:cs="Times New Roman"/>
          <w:lang w:val="en-US"/>
        </w:rPr>
        <w:t xml:space="preserve"> </w:t>
      </w:r>
      <w:r w:rsidR="006F488E">
        <w:rPr>
          <w:rFonts w:asciiTheme="majorHAnsi" w:hAnsiTheme="majorHAnsi" w:cs="Times New Roman"/>
          <w:lang w:val="en-US"/>
        </w:rPr>
        <w:t>m</w:t>
      </w:r>
      <w:r w:rsidRPr="00240CBD">
        <w:rPr>
          <w:rFonts w:asciiTheme="majorHAnsi" w:hAnsiTheme="majorHAnsi" w:cs="Times New Roman"/>
          <w:lang w:val="en-US"/>
        </w:rPr>
        <w:t xml:space="preserve">ultilateral Chinese </w:t>
      </w:r>
      <w:r w:rsidR="006F488E">
        <w:rPr>
          <w:rFonts w:asciiTheme="majorHAnsi" w:hAnsiTheme="majorHAnsi" w:cs="Times New Roman"/>
          <w:lang w:val="en-US"/>
        </w:rPr>
        <w:t>p</w:t>
      </w:r>
      <w:r w:rsidRPr="00240CBD">
        <w:rPr>
          <w:rFonts w:asciiTheme="majorHAnsi" w:hAnsiTheme="majorHAnsi" w:cs="Times New Roman"/>
          <w:lang w:val="en-US"/>
        </w:rPr>
        <w:t>rojects in Central Asia</w:t>
      </w:r>
    </w:p>
    <w:p w14:paraId="44BEB50D" w14:textId="77777777" w:rsidR="00006C26" w:rsidRPr="001539E0" w:rsidRDefault="00006C26" w:rsidP="00BD217D">
      <w:pPr>
        <w:spacing w:line="240" w:lineRule="auto"/>
        <w:ind w:firstLine="708"/>
        <w:rPr>
          <w:rFonts w:asciiTheme="majorHAnsi" w:hAnsiTheme="majorHAnsi" w:cs="Times New Roman"/>
          <w:b/>
          <w:i/>
          <w:lang w:val="en-US"/>
        </w:rPr>
      </w:pPr>
    </w:p>
    <w:tbl>
      <w:tblPr>
        <w:tblpPr w:leftFromText="180" w:rightFromText="180" w:vertAnchor="text" w:horzAnchor="margin" w:tblpY="-81"/>
        <w:tblW w:w="107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7"/>
        <w:gridCol w:w="301"/>
        <w:gridCol w:w="796"/>
        <w:gridCol w:w="809"/>
        <w:gridCol w:w="293"/>
        <w:gridCol w:w="472"/>
        <w:gridCol w:w="629"/>
        <w:gridCol w:w="720"/>
        <w:gridCol w:w="830"/>
        <w:gridCol w:w="925"/>
        <w:gridCol w:w="826"/>
        <w:gridCol w:w="719"/>
        <w:gridCol w:w="826"/>
        <w:gridCol w:w="712"/>
        <w:gridCol w:w="713"/>
      </w:tblGrid>
      <w:tr w:rsidR="00E951D1" w:rsidRPr="001539E0" w14:paraId="41C36ACD" w14:textId="411FECF0" w:rsidTr="0045166D">
        <w:trPr>
          <w:gridAfter w:val="2"/>
          <w:wAfter w:w="1425" w:type="dxa"/>
          <w:trHeight w:val="330"/>
        </w:trPr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1BE9560" w14:textId="77777777" w:rsidR="00E951D1" w:rsidRPr="001539E0" w:rsidRDefault="00E951D1" w:rsidP="004D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C835066" w14:textId="3027F917" w:rsidR="00E951D1" w:rsidRPr="00D13481" w:rsidRDefault="00E951D1" w:rsidP="00E951D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D13481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Total by country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7755D1D" w14:textId="45425352" w:rsidR="00E951D1" w:rsidRPr="001539E0" w:rsidRDefault="00E951D1" w:rsidP="004D64A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Road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i</w:t>
            </w: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nfrastructure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C82082F" w14:textId="07E34C15" w:rsidR="00E951D1" w:rsidRPr="001539E0" w:rsidRDefault="00E951D1" w:rsidP="004D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Energy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c</w:t>
            </w: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onnectivity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380ED95" w14:textId="60D5FE9E" w:rsidR="00E951D1" w:rsidRPr="001539E0" w:rsidRDefault="00E951D1" w:rsidP="004D64A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Trade and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i</w:t>
            </w: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ndustrial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d</w:t>
            </w: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evelopment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427465F" w14:textId="2134832B" w:rsidR="00E951D1" w:rsidRPr="001539E0" w:rsidRDefault="00E951D1" w:rsidP="004D64A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People-to-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p</w:t>
            </w: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eople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projects</w:t>
            </w:r>
          </w:p>
        </w:tc>
      </w:tr>
      <w:tr w:rsidR="0045166D" w:rsidRPr="001539E0" w14:paraId="2610CA99" w14:textId="7FD1B198" w:rsidTr="005252E4">
        <w:trPr>
          <w:gridAfter w:val="2"/>
          <w:wAfter w:w="1425" w:type="dxa"/>
          <w:trHeight w:val="328"/>
        </w:trPr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0E50E79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3034A0C8" w14:textId="6A193AED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Bilateral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254FDBDE" w14:textId="64F67E40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Multi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l</w:t>
            </w:r>
            <w:proofErr w:type="spellEnd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6E68DCD2" w14:textId="74B02A33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Bilateral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7EC4C37" w14:textId="18F01963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Multi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l</w:t>
            </w:r>
            <w:proofErr w:type="spellEnd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F34BCF6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Bilateral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542012F" w14:textId="4E0AAC7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Multi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l</w:t>
            </w:r>
            <w:proofErr w:type="spellEnd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0343D6B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Bilateral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2F250771" w14:textId="0A86AE8B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Multi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l</w:t>
            </w:r>
            <w:proofErr w:type="spellEnd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A9B3E29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Bilateral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0AC8900" w14:textId="6BE2BA26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Multi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l</w:t>
            </w:r>
            <w:proofErr w:type="spellEnd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</w:tc>
      </w:tr>
      <w:tr w:rsidR="0045166D" w:rsidRPr="001539E0" w14:paraId="6EA18F4C" w14:textId="006796FE" w:rsidTr="005252E4">
        <w:trPr>
          <w:gridAfter w:val="2"/>
          <w:wAfter w:w="1425" w:type="dxa"/>
          <w:trHeight w:val="328"/>
        </w:trPr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392453" w14:textId="3B006359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537B1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by</w:t>
            </w:r>
            <w:r w:rsidRPr="00537B1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 sector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6474B009" w14:textId="53D54DBF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237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5918A4A" w14:textId="3CF3F89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4336EB3" w14:textId="03B29883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42AAE42" w14:textId="79DE7FB8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46BDCA9" w14:textId="67D6BB3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8FD328F" w14:textId="33D9131C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48978D5" w14:textId="29BEE2C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8ED57E6" w14:textId="1B0DC7D4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451E834" w14:textId="55A346FB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545B79B" w14:textId="349B2770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45166D" w:rsidRPr="001539E0" w14:paraId="207E183D" w14:textId="77777777" w:rsidTr="005252E4">
        <w:trPr>
          <w:gridAfter w:val="2"/>
          <w:wAfter w:w="1425" w:type="dxa"/>
          <w:trHeight w:val="328"/>
        </w:trPr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122CF75" w14:textId="6EB39DA0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64870ABC" w14:textId="2237BBC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EC38E58" w14:textId="1B454A8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3F7D8D1A" w14:textId="6B733BA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9AF0DE" w14:textId="18E7B51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91746FF" w14:textId="0C19FB43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D0B7003" w14:textId="5BC8E1A6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AD518F4" w14:textId="448592DE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C2B17D8" w14:textId="53602843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C3E6CB8" w14:textId="2AF57579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1DDB1F9" w14:textId="25A86259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3628F320" w14:textId="37D374A0" w:rsidTr="005252E4">
        <w:trPr>
          <w:gridAfter w:val="2"/>
          <w:wAfter w:w="1425" w:type="dxa"/>
          <w:trHeight w:val="330"/>
        </w:trPr>
        <w:tc>
          <w:tcPr>
            <w:tcW w:w="1458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7033638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6741652" w14:textId="6E26F24E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9479AF" w14:textId="0245AB9F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6143D37D" w14:textId="6F388D5F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21557C1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7D42577" w14:textId="44A7D01D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0ADE8FF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AD07A42" w14:textId="11184772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AEF1BCF" w14:textId="773BAF86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20A81E9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826737A" w14:textId="61328F5B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66D" w:rsidRPr="001539E0" w14:paraId="74087F5C" w14:textId="6D326907" w:rsidTr="005252E4">
        <w:trPr>
          <w:gridAfter w:val="2"/>
          <w:wAfter w:w="1425" w:type="dxa"/>
          <w:trHeight w:val="330"/>
        </w:trPr>
        <w:tc>
          <w:tcPr>
            <w:tcW w:w="1458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C03EA5D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9A8DF86" w14:textId="551C74EE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F6A00C2" w14:textId="2ED6152A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D42E687" w14:textId="460D184C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A927C5F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0BA0C3F" w14:textId="1AAE03B8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C74AE86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357F1CA" w14:textId="20D161BE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FE3CB8C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1046266" w14:textId="453C5BFD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03FA0CD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5A0139A6" w14:textId="77777777" w:rsidTr="005252E4">
        <w:trPr>
          <w:gridAfter w:val="2"/>
          <w:wAfter w:w="1425" w:type="dxa"/>
          <w:trHeight w:val="330"/>
        </w:trPr>
        <w:tc>
          <w:tcPr>
            <w:tcW w:w="1458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994DC8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3567FFB" w14:textId="2D79DBCD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591A0BC" w14:textId="47009FEB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EDC1BD3" w14:textId="20AC1AEC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D24697D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8EFCBC8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2699CAA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8ABD38A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2DF2E4C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700104C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87E02A9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554BBD11" w14:textId="4F5EE722" w:rsidTr="005252E4">
        <w:trPr>
          <w:gridAfter w:val="2"/>
          <w:wAfter w:w="1425" w:type="dxa"/>
          <w:trHeight w:val="330"/>
        </w:trPr>
        <w:tc>
          <w:tcPr>
            <w:tcW w:w="1458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50AD0AE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Turkmenistan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C50FE17" w14:textId="36F202F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9C6931" w14:textId="211334A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AF45830" w14:textId="3ED00D56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AE7ED06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E7CD2E1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5B2B117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340B7C5" w14:textId="10589A2B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4D6B012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B2D8286" w14:textId="542B434B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BF51C4F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44A732E0" w14:textId="1979ED06" w:rsidTr="005252E4">
        <w:trPr>
          <w:trHeight w:val="330"/>
        </w:trPr>
        <w:tc>
          <w:tcPr>
            <w:tcW w:w="1157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7087BD29" w14:textId="689A638F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057A885" w14:textId="77777777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D369F2A" w14:textId="3A307725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2270D238" w14:textId="617C6B8B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5D3D7FCA" w14:textId="03CCC009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1B5C533C" w14:textId="2FCA6D38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FF1D906" w14:textId="04258E22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C1F85CF" w14:textId="6EC12E99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05D2CBE" w14:textId="47A70D97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18A46FF" w14:textId="72E7F4CB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0D2738A" w14:textId="007DBDD3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01C2F139" w14:textId="27F86D16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586CF20" w14:textId="1B6FB827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DE74D45" w14:textId="77777777" w:rsidR="00EC6579" w:rsidRPr="001539E0" w:rsidRDefault="00EC6579" w:rsidP="00006C26">
      <w:pPr>
        <w:rPr>
          <w:rFonts w:asciiTheme="majorHAnsi" w:hAnsiTheme="majorHAnsi" w:cs="Times New Roman"/>
          <w:b/>
          <w:i/>
          <w:lang w:val="en-US"/>
        </w:rPr>
      </w:pPr>
    </w:p>
    <w:p w14:paraId="1A6545A0" w14:textId="77777777" w:rsidR="00655C06" w:rsidRDefault="00655C06" w:rsidP="001514EC">
      <w:pPr>
        <w:jc w:val="center"/>
        <w:rPr>
          <w:rFonts w:asciiTheme="majorHAnsi" w:hAnsiTheme="majorHAnsi" w:cs="Times New Roman"/>
          <w:lang w:val="en-US"/>
        </w:rPr>
      </w:pPr>
    </w:p>
    <w:p w14:paraId="08409443" w14:textId="3D0E14AA" w:rsidR="00006C26" w:rsidRPr="00240CBD" w:rsidRDefault="00006C26" w:rsidP="00C65789">
      <w:pPr>
        <w:rPr>
          <w:rFonts w:asciiTheme="majorHAnsi" w:hAnsiTheme="majorHAnsi" w:cs="Times New Roman"/>
          <w:lang w:val="en-US"/>
        </w:rPr>
      </w:pPr>
      <w:r w:rsidRPr="00240CBD">
        <w:rPr>
          <w:rFonts w:asciiTheme="majorHAnsi" w:hAnsiTheme="majorHAnsi" w:cs="Times New Roman"/>
          <w:lang w:val="en-US"/>
        </w:rPr>
        <w:t xml:space="preserve">Table </w:t>
      </w:r>
      <w:r w:rsidR="00F0726A">
        <w:rPr>
          <w:rFonts w:asciiTheme="majorHAnsi" w:hAnsiTheme="majorHAnsi" w:cs="Times New Roman"/>
          <w:lang w:val="en-US"/>
        </w:rPr>
        <w:t>5</w:t>
      </w:r>
      <w:r w:rsidRPr="00240CBD">
        <w:rPr>
          <w:rFonts w:asciiTheme="majorHAnsi" w:hAnsiTheme="majorHAnsi" w:cs="Times New Roman"/>
          <w:lang w:val="en-US"/>
        </w:rPr>
        <w:t xml:space="preserve">. </w:t>
      </w:r>
      <w:r w:rsidR="009D25CF">
        <w:rPr>
          <w:rFonts w:asciiTheme="majorHAnsi" w:hAnsiTheme="majorHAnsi" w:cs="Times New Roman"/>
          <w:lang w:val="en-US"/>
        </w:rPr>
        <w:t>Number of c</w:t>
      </w:r>
      <w:r w:rsidRPr="00240CBD">
        <w:rPr>
          <w:rFonts w:asciiTheme="majorHAnsi" w:hAnsiTheme="majorHAnsi" w:cs="Times New Roman"/>
          <w:lang w:val="en-US"/>
        </w:rPr>
        <w:t xml:space="preserve">ommercial </w:t>
      </w:r>
      <w:r w:rsidR="00754A73">
        <w:rPr>
          <w:rFonts w:asciiTheme="majorHAnsi" w:hAnsiTheme="majorHAnsi" w:cs="Times New Roman"/>
          <w:lang w:val="en-US"/>
        </w:rPr>
        <w:t>vs.</w:t>
      </w:r>
      <w:r w:rsidRPr="00240CBD">
        <w:rPr>
          <w:rFonts w:asciiTheme="majorHAnsi" w:hAnsiTheme="majorHAnsi" w:cs="Times New Roman"/>
          <w:lang w:val="en-US"/>
        </w:rPr>
        <w:t xml:space="preserve"> </w:t>
      </w:r>
      <w:r w:rsidR="006F488E">
        <w:rPr>
          <w:rFonts w:asciiTheme="majorHAnsi" w:hAnsiTheme="majorHAnsi" w:cs="Times New Roman"/>
          <w:lang w:val="en-US"/>
        </w:rPr>
        <w:t>s</w:t>
      </w:r>
      <w:r w:rsidRPr="00240CBD">
        <w:rPr>
          <w:rFonts w:asciiTheme="majorHAnsi" w:hAnsiTheme="majorHAnsi" w:cs="Times New Roman"/>
          <w:lang w:val="en-US"/>
        </w:rPr>
        <w:t xml:space="preserve">trategic Chinese </w:t>
      </w:r>
      <w:r w:rsidR="006F488E">
        <w:rPr>
          <w:rFonts w:asciiTheme="majorHAnsi" w:hAnsiTheme="majorHAnsi" w:cs="Times New Roman"/>
          <w:lang w:val="en-US"/>
        </w:rPr>
        <w:t>p</w:t>
      </w:r>
      <w:r w:rsidRPr="00240CBD">
        <w:rPr>
          <w:rFonts w:asciiTheme="majorHAnsi" w:hAnsiTheme="majorHAnsi" w:cs="Times New Roman"/>
          <w:lang w:val="en-US"/>
        </w:rPr>
        <w:t>rojects in Central Asia</w:t>
      </w:r>
    </w:p>
    <w:p w14:paraId="3F1B0D80" w14:textId="77777777" w:rsidR="001514EC" w:rsidRPr="001539E0" w:rsidRDefault="001514EC" w:rsidP="00B20D46">
      <w:pPr>
        <w:spacing w:line="120" w:lineRule="exact"/>
        <w:jc w:val="center"/>
        <w:rPr>
          <w:rFonts w:asciiTheme="majorHAnsi" w:hAnsiTheme="majorHAnsi" w:cs="Times New Roman"/>
          <w:lang w:val="en-US"/>
        </w:rPr>
      </w:pPr>
    </w:p>
    <w:tbl>
      <w:tblPr>
        <w:tblW w:w="123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857"/>
        <w:gridCol w:w="857"/>
        <w:gridCol w:w="857"/>
        <w:gridCol w:w="758"/>
        <w:gridCol w:w="1011"/>
        <w:gridCol w:w="886"/>
        <w:gridCol w:w="1011"/>
        <w:gridCol w:w="1012"/>
        <w:gridCol w:w="1011"/>
        <w:gridCol w:w="1012"/>
        <w:gridCol w:w="924"/>
        <w:gridCol w:w="732"/>
      </w:tblGrid>
      <w:tr w:rsidR="005B23AF" w:rsidRPr="001539E0" w14:paraId="560047C8" w14:textId="550707EE" w:rsidTr="005B23AF">
        <w:trPr>
          <w:gridAfter w:val="2"/>
          <w:wAfter w:w="1656" w:type="dxa"/>
          <w:trHeight w:val="31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BBEF8" w14:textId="77777777" w:rsidR="005B23AF" w:rsidRPr="001539E0" w:rsidRDefault="005B23AF" w:rsidP="00E951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A9C1C2" w14:textId="69E4E6E4" w:rsidR="005B23AF" w:rsidRPr="00D13481" w:rsidRDefault="005B23AF" w:rsidP="00E951D1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D13481">
              <w:rPr>
                <w:rFonts w:ascii="Cambria" w:hAnsi="Cambria"/>
                <w:sz w:val="18"/>
                <w:szCs w:val="18"/>
              </w:rPr>
              <w:t>Total</w:t>
            </w:r>
            <w:proofErr w:type="spellEnd"/>
            <w:r w:rsidRPr="00D13481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13481">
              <w:rPr>
                <w:rFonts w:ascii="Cambria" w:hAnsi="Cambria"/>
                <w:sz w:val="18"/>
                <w:szCs w:val="18"/>
              </w:rPr>
              <w:t>by</w:t>
            </w:r>
            <w:proofErr w:type="spellEnd"/>
            <w:r w:rsidRPr="00D13481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13481">
              <w:rPr>
                <w:rFonts w:ascii="Cambria" w:hAnsi="Cambria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8EA2042" w14:textId="67EA6B00" w:rsidR="005B23AF" w:rsidRPr="001539E0" w:rsidRDefault="005B23AF" w:rsidP="00E951D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Road infrastructure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8E480F5" w14:textId="4A408A53" w:rsidR="005B23AF" w:rsidRPr="001539E0" w:rsidRDefault="005B23AF" w:rsidP="00E951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Energy connectivity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1340FF3" w14:textId="0561DB55" w:rsidR="005B23AF" w:rsidRPr="001539E0" w:rsidRDefault="005B23AF" w:rsidP="00E951D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Trade and industrial development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55481B1" w14:textId="568F151D" w:rsidR="005B23AF" w:rsidRPr="001539E0" w:rsidRDefault="005B23AF" w:rsidP="00E951D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People-to-people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projects</w:t>
            </w:r>
          </w:p>
        </w:tc>
      </w:tr>
      <w:tr w:rsidR="0045166D" w:rsidRPr="001539E0" w14:paraId="12FE3538" w14:textId="5D7B1210" w:rsidTr="00FB6D40">
        <w:trPr>
          <w:gridAfter w:val="2"/>
          <w:wAfter w:w="1656" w:type="dxa"/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E98D9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FE42B" w14:textId="63A1B205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Commerc</w:t>
            </w:r>
            <w:proofErr w:type="spellEnd"/>
            <w:r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57126E2" w14:textId="4D37520B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Strateg</w:t>
            </w:r>
            <w:proofErr w:type="spellEnd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AAAD5" w14:textId="607B288F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Commerc</w:t>
            </w:r>
            <w:proofErr w:type="spellEnd"/>
            <w:r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508535F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Strateg</w:t>
            </w:r>
            <w:proofErr w:type="spellEnd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2B731A83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Commerc</w:t>
            </w:r>
            <w:proofErr w:type="spellEnd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9CCD380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Strateg</w:t>
            </w:r>
            <w:proofErr w:type="spellEnd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1DAD361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Commerc</w:t>
            </w:r>
            <w:proofErr w:type="spellEnd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2EC1013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Strateg</w:t>
            </w:r>
            <w:proofErr w:type="spellEnd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5316898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Commerc</w:t>
            </w:r>
            <w:proofErr w:type="spellEnd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38651D5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Strateg</w:t>
            </w:r>
            <w:proofErr w:type="spellEnd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</w:tr>
      <w:tr w:rsidR="0045166D" w:rsidRPr="001539E0" w14:paraId="6D496C58" w14:textId="6461ECEA" w:rsidTr="00FB6D40">
        <w:trPr>
          <w:gridAfter w:val="2"/>
          <w:wAfter w:w="1656" w:type="dxa"/>
          <w:trHeight w:val="31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D4C5AD8" w14:textId="5DF6A0DF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537B1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 xml:space="preserve">Total </w:t>
            </w:r>
            <w:r w:rsidR="00990DE5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by</w:t>
            </w:r>
            <w:r w:rsidRPr="00537B1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 xml:space="preserve"> sector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C2B1171" w14:textId="34C9185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135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B48E0C3" w14:textId="55C09DF5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126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3545DE78" w14:textId="30ED56E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4747ECE" w14:textId="4B490449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4317D2E" w14:textId="4B36331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99C071B" w14:textId="7953F47D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1C975E6" w14:textId="24D7638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102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8BC98ED" w14:textId="7611550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643818E" w14:textId="11F8EA55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6CE240A" w14:textId="6E044966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29</w:t>
            </w:r>
          </w:p>
        </w:tc>
      </w:tr>
      <w:tr w:rsidR="0045166D" w:rsidRPr="001539E0" w14:paraId="320343E7" w14:textId="77777777" w:rsidTr="00FB6D40">
        <w:trPr>
          <w:gridAfter w:val="2"/>
          <w:wAfter w:w="1656" w:type="dxa"/>
          <w:trHeight w:val="31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EBF45E3" w14:textId="2C738CE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F324BB9" w14:textId="4550783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78FCFF3" w14:textId="02AFE546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AE8E08B" w14:textId="75E361F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2FB0E7C" w14:textId="1A1F48E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4678AA8" w14:textId="3D3BFCB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33F202F" w14:textId="415AC09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7C253B0" w14:textId="519A241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5114BA6" w14:textId="2168312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38FFF70" w14:textId="35332726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6474740" w14:textId="06719F3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7</w:t>
            </w:r>
          </w:p>
        </w:tc>
      </w:tr>
      <w:tr w:rsidR="0045166D" w:rsidRPr="001539E0" w14:paraId="240749DE" w14:textId="4A6C6D9D" w:rsidTr="00FB6D40">
        <w:trPr>
          <w:gridAfter w:val="2"/>
          <w:wAfter w:w="1656" w:type="dxa"/>
          <w:trHeight w:val="316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4CE6E9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713BF5C" w14:textId="01A3F20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BA0F029" w14:textId="3774AC9F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34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6E74A197" w14:textId="23296BA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B6813CC" w14:textId="3D11931D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2CC28FD" w14:textId="01747509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D4D4E5F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9C471E4" w14:textId="6BBA9BD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05240CD" w14:textId="039DB10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E8CAD72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5E6D85E" w14:textId="43600F4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11</w:t>
            </w:r>
          </w:p>
        </w:tc>
      </w:tr>
      <w:tr w:rsidR="0045166D" w:rsidRPr="001539E0" w14:paraId="2C21D499" w14:textId="2C1A79BB" w:rsidTr="00FB6D40">
        <w:trPr>
          <w:gridAfter w:val="2"/>
          <w:wAfter w:w="1656" w:type="dxa"/>
          <w:trHeight w:val="316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6A99A9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50BAE8BC" w14:textId="7FFA48D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D7F4718" w14:textId="66D9375D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39BB378" w14:textId="082A102B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740FA08" w14:textId="7E0C4BE1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2C4CD10" w14:textId="38C7E5D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2FBB594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71D5A4" w14:textId="67C9EAC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31DDD7A" w14:textId="4D5A330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BC6768C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7BEC1E9" w14:textId="6183CB5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</w:tr>
      <w:tr w:rsidR="0045166D" w:rsidRPr="001539E0" w14:paraId="73745417" w14:textId="77777777" w:rsidTr="00FB6D40">
        <w:trPr>
          <w:gridAfter w:val="2"/>
          <w:wAfter w:w="1656" w:type="dxa"/>
          <w:trHeight w:val="316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28105E8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8BADBA3" w14:textId="2AF23ED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28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388A73A" w14:textId="15C2F57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ACC59B1" w14:textId="06D7328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C99AEEC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D8627C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E470536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59FE479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18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20CD976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1FF661A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DFCABF1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</w:tr>
      <w:tr w:rsidR="0045166D" w:rsidRPr="001539E0" w14:paraId="4EB1ADA4" w14:textId="79B20A56" w:rsidTr="00FB6D40">
        <w:trPr>
          <w:gridAfter w:val="2"/>
          <w:wAfter w:w="1656" w:type="dxa"/>
          <w:trHeight w:val="316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8E5B9F7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Turkmenistan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62D66E33" w14:textId="2A60744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74E8B25" w14:textId="3E6822F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01BFE0B" w14:textId="2C84199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CEDA026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3259577" w14:textId="74983B4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3E3D0E5" w14:textId="0F269D8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5D1B2CA" w14:textId="57755D2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8C4C1CF" w14:textId="4C840566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F4BCE2E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A31AC74" w14:textId="1424D1A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5</w:t>
            </w:r>
          </w:p>
        </w:tc>
      </w:tr>
      <w:tr w:rsidR="0045166D" w:rsidRPr="001539E0" w14:paraId="637C1474" w14:textId="59BAD890" w:rsidTr="00E951D1">
        <w:trPr>
          <w:trHeight w:val="316"/>
        </w:trPr>
        <w:tc>
          <w:tcPr>
            <w:tcW w:w="141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15AC084F" w14:textId="0BD2B78F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6A170F70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</w:tcPr>
          <w:p w14:paraId="11B82F28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03C781C4" w14:textId="7B3CE480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17C9DF1F" w14:textId="3D341F02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6817477" w14:textId="3314BA19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1F5DC8A8" w14:textId="42A79BE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6BE79D2F" w14:textId="02DF114E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F861135" w14:textId="23E0D1D8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454EDEEB" w14:textId="07F382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7DCAADD7" w14:textId="5103557D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319C1FA9" w14:textId="4918A1C8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012DF55" w14:textId="10A94715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</w:tr>
    </w:tbl>
    <w:p w14:paraId="19B752D8" w14:textId="5C2FE8B9" w:rsidR="00006C26" w:rsidRDefault="00006C26" w:rsidP="00006C26">
      <w:pPr>
        <w:rPr>
          <w:rFonts w:asciiTheme="majorHAnsi" w:hAnsiTheme="majorHAnsi" w:cs="Times New Roman"/>
          <w:b/>
          <w:i/>
          <w:lang w:val="en-US"/>
        </w:rPr>
      </w:pPr>
    </w:p>
    <w:p w14:paraId="34FFF13A" w14:textId="77777777" w:rsidR="00EF4151" w:rsidRPr="001539E0" w:rsidRDefault="00EF4151" w:rsidP="00006C26">
      <w:pPr>
        <w:rPr>
          <w:rFonts w:asciiTheme="majorHAnsi" w:hAnsiTheme="majorHAnsi" w:cs="Times New Roman"/>
          <w:b/>
          <w:i/>
          <w:lang w:val="en-US"/>
        </w:rPr>
      </w:pPr>
    </w:p>
    <w:p w14:paraId="1310125C" w14:textId="77777777" w:rsidR="00655C06" w:rsidRDefault="00655C06" w:rsidP="00EF4151">
      <w:pPr>
        <w:rPr>
          <w:rFonts w:asciiTheme="majorHAnsi" w:hAnsiTheme="majorHAnsi" w:cs="Times New Roman"/>
          <w:lang w:val="en-US"/>
        </w:rPr>
      </w:pPr>
    </w:p>
    <w:p w14:paraId="38D4BF79" w14:textId="1CA69C3A" w:rsidR="00006C26" w:rsidRPr="00240CBD" w:rsidRDefault="00006C26" w:rsidP="00C65789">
      <w:pPr>
        <w:rPr>
          <w:rFonts w:asciiTheme="majorHAnsi" w:hAnsiTheme="majorHAnsi" w:cs="Times New Roman"/>
          <w:lang w:val="en-US"/>
        </w:rPr>
      </w:pPr>
      <w:r w:rsidRPr="00240CBD">
        <w:rPr>
          <w:rFonts w:asciiTheme="majorHAnsi" w:hAnsiTheme="majorHAnsi" w:cs="Times New Roman"/>
          <w:lang w:val="en-US"/>
        </w:rPr>
        <w:t xml:space="preserve">Table </w:t>
      </w:r>
      <w:r w:rsidR="00F0726A">
        <w:rPr>
          <w:rFonts w:asciiTheme="majorHAnsi" w:hAnsiTheme="majorHAnsi" w:cs="Times New Roman"/>
          <w:lang w:val="en-US"/>
        </w:rPr>
        <w:t>6</w:t>
      </w:r>
      <w:r w:rsidRPr="00240CBD">
        <w:rPr>
          <w:rFonts w:asciiTheme="majorHAnsi" w:hAnsiTheme="majorHAnsi" w:cs="Times New Roman"/>
          <w:lang w:val="en-US"/>
        </w:rPr>
        <w:t xml:space="preserve">. </w:t>
      </w:r>
      <w:r w:rsidR="00990DE5">
        <w:rPr>
          <w:rFonts w:asciiTheme="majorHAnsi" w:hAnsiTheme="majorHAnsi" w:cs="Times New Roman"/>
          <w:lang w:val="en-US"/>
        </w:rPr>
        <w:t>Number of l</w:t>
      </w:r>
      <w:r w:rsidRPr="00240CBD">
        <w:rPr>
          <w:rFonts w:asciiTheme="majorHAnsi" w:hAnsiTheme="majorHAnsi" w:cs="Times New Roman"/>
          <w:lang w:val="en-US"/>
        </w:rPr>
        <w:t xml:space="preserve">ocal </w:t>
      </w:r>
      <w:r w:rsidR="00754A73" w:rsidRPr="00240CBD">
        <w:rPr>
          <w:rFonts w:asciiTheme="majorHAnsi" w:hAnsiTheme="majorHAnsi" w:cs="Times New Roman"/>
          <w:lang w:val="en-US"/>
        </w:rPr>
        <w:t>vs.</w:t>
      </w:r>
      <w:r w:rsidRPr="00240CBD">
        <w:rPr>
          <w:rFonts w:asciiTheme="majorHAnsi" w:hAnsiTheme="majorHAnsi" w:cs="Times New Roman"/>
          <w:lang w:val="en-US"/>
        </w:rPr>
        <w:t xml:space="preserve"> </w:t>
      </w:r>
      <w:r w:rsidR="006F488E">
        <w:rPr>
          <w:rFonts w:asciiTheme="majorHAnsi" w:hAnsiTheme="majorHAnsi" w:cs="Times New Roman"/>
          <w:lang w:val="en-US"/>
        </w:rPr>
        <w:t>r</w:t>
      </w:r>
      <w:r w:rsidRPr="00240CBD">
        <w:rPr>
          <w:rFonts w:asciiTheme="majorHAnsi" w:hAnsiTheme="majorHAnsi" w:cs="Times New Roman"/>
          <w:lang w:val="en-US"/>
        </w:rPr>
        <w:t xml:space="preserve">egional Chinese </w:t>
      </w:r>
      <w:r w:rsidR="006F488E">
        <w:rPr>
          <w:rFonts w:asciiTheme="majorHAnsi" w:hAnsiTheme="majorHAnsi" w:cs="Times New Roman"/>
          <w:lang w:val="en-US"/>
        </w:rPr>
        <w:t>p</w:t>
      </w:r>
      <w:r w:rsidRPr="00240CBD">
        <w:rPr>
          <w:rFonts w:asciiTheme="majorHAnsi" w:hAnsiTheme="majorHAnsi" w:cs="Times New Roman"/>
          <w:lang w:val="en-US"/>
        </w:rPr>
        <w:t>rojects in Central Asia</w:t>
      </w:r>
    </w:p>
    <w:p w14:paraId="5C0C0AF3" w14:textId="77777777" w:rsidR="001514EC" w:rsidRPr="001539E0" w:rsidRDefault="001514EC" w:rsidP="00B20D46">
      <w:pPr>
        <w:spacing w:line="120" w:lineRule="exact"/>
        <w:rPr>
          <w:rFonts w:asciiTheme="majorHAnsi" w:hAnsiTheme="majorHAnsi" w:cs="Times New Roman"/>
          <w:b/>
          <w:i/>
          <w:lang w:val="en-US"/>
        </w:rPr>
      </w:pPr>
    </w:p>
    <w:tbl>
      <w:tblPr>
        <w:tblW w:w="13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828"/>
        <w:gridCol w:w="828"/>
        <w:gridCol w:w="828"/>
        <w:gridCol w:w="882"/>
        <w:gridCol w:w="828"/>
        <w:gridCol w:w="162"/>
        <w:gridCol w:w="720"/>
        <w:gridCol w:w="180"/>
        <w:gridCol w:w="810"/>
        <w:gridCol w:w="270"/>
        <w:gridCol w:w="630"/>
        <w:gridCol w:w="270"/>
        <w:gridCol w:w="810"/>
        <w:gridCol w:w="270"/>
        <w:gridCol w:w="630"/>
        <w:gridCol w:w="180"/>
        <w:gridCol w:w="900"/>
        <w:gridCol w:w="810"/>
        <w:gridCol w:w="630"/>
        <w:gridCol w:w="808"/>
      </w:tblGrid>
      <w:tr w:rsidR="00BB2F08" w:rsidRPr="001539E0" w14:paraId="4A5E4271" w14:textId="2D88B48D" w:rsidTr="00FB6D40">
        <w:trPr>
          <w:gridAfter w:val="4"/>
          <w:wAfter w:w="3148" w:type="dxa"/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9969E33" w14:textId="77777777" w:rsidR="00BB2F08" w:rsidRPr="001539E0" w:rsidRDefault="00BB2F08" w:rsidP="004D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71749C24" w14:textId="242D750E" w:rsidR="00BB2F08" w:rsidRPr="00990DE5" w:rsidRDefault="00BB2F08" w:rsidP="004D64AB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val="en-US"/>
              </w:rPr>
            </w:pPr>
            <w:r w:rsidRPr="00990DE5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Total by country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23FC20C" w14:textId="3A921D8B" w:rsidR="00BB2F08" w:rsidRPr="001539E0" w:rsidRDefault="00BB2F08" w:rsidP="004D64A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Road infrastructure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304370E" w14:textId="4ACF47BC" w:rsidR="00BB2F08" w:rsidRPr="001539E0" w:rsidRDefault="00BB2F08" w:rsidP="004D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Energy connectivity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23C0CEC2" w14:textId="2BA80D6F" w:rsidR="00BB2F08" w:rsidRPr="001539E0" w:rsidRDefault="00BB2F08" w:rsidP="004D64A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Trade and industrial development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6C8A492" w14:textId="128A86EA" w:rsidR="00BB2F08" w:rsidRPr="001539E0" w:rsidRDefault="00BB2F08" w:rsidP="004D64A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People-to-people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projects</w:t>
            </w:r>
          </w:p>
        </w:tc>
      </w:tr>
      <w:tr w:rsidR="0045166D" w:rsidRPr="001539E0" w14:paraId="237D811B" w14:textId="7B1F17C4" w:rsidTr="00FB6D40">
        <w:trPr>
          <w:gridAfter w:val="4"/>
          <w:wAfter w:w="3148" w:type="dxa"/>
          <w:trHeight w:val="311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D27B4E1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39EC5B02" w14:textId="6ACEDB7D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B6C3D95" w14:textId="1CC7482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Regional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1752EEB0" w14:textId="219706CB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39B8C55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Regional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163942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436D4D6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Regional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68FF295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B59F3A0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Regional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24E4357E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1E4D99F" w14:textId="1CA17EED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Region</w:t>
            </w:r>
            <w:r>
              <w:rPr>
                <w:rFonts w:asciiTheme="majorHAnsi" w:hAnsiTheme="majorHAnsi" w:cs="Calibri"/>
                <w:sz w:val="18"/>
                <w:szCs w:val="18"/>
                <w:lang w:val="en-US"/>
              </w:rPr>
              <w:t>al</w:t>
            </w:r>
          </w:p>
        </w:tc>
      </w:tr>
      <w:tr w:rsidR="0045166D" w:rsidRPr="001539E0" w14:paraId="1F8315E1" w14:textId="0A780B1F" w:rsidTr="00FB6D40">
        <w:trPr>
          <w:gridAfter w:val="4"/>
          <w:wAfter w:w="3148" w:type="dxa"/>
          <w:trHeight w:val="311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0CEA235" w14:textId="663DF638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537B1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by</w:t>
            </w:r>
            <w:r w:rsidRPr="00537B1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 xml:space="preserve"> sector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4F3EB06" w14:textId="00EAA9D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nb-NO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nb-NO"/>
              </w:rPr>
              <w:t>209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C8C1520" w14:textId="2D5CD93B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323183FA" w14:textId="42835F8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0A0D48E" w14:textId="7449A2B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507110C" w14:textId="47F44D0D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B25BB73" w14:textId="023CCE4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194E633" w14:textId="71C167FB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123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84FE794" w14:textId="23BEF64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C73E352" w14:textId="4512E69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4E4905E" w14:textId="4121ED8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45166D" w:rsidRPr="001539E0" w14:paraId="6B17B6F4" w14:textId="77777777" w:rsidTr="00FB6D40">
        <w:trPr>
          <w:gridAfter w:val="4"/>
          <w:wAfter w:w="3148" w:type="dxa"/>
          <w:trHeight w:val="311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D64D7A9" w14:textId="708EAA9A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542BFF3B" w14:textId="5288AEA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6EB63EF" w14:textId="5E0672F1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30B24071" w14:textId="0513659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15F04EB" w14:textId="5C7FF7FB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54C8B5A" w14:textId="34593A7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48AEFB0" w14:textId="5E25B33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119ED4F" w14:textId="6759FF3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AB1B648" w14:textId="02A14CA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EAAC60B" w14:textId="0105A04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87C5E54" w14:textId="4FE334FD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4396BA93" w14:textId="0FA3CDD2" w:rsidTr="00FB6D40">
        <w:trPr>
          <w:gridAfter w:val="4"/>
          <w:wAfter w:w="3148" w:type="dxa"/>
          <w:trHeight w:val="312"/>
        </w:trPr>
        <w:tc>
          <w:tcPr>
            <w:tcW w:w="144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2EB2744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787D8FB" w14:textId="300605CF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19C0B7F" w14:textId="65122C2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24E1CF8" w14:textId="7F65981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9BA1197" w14:textId="24815F4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241A0E0" w14:textId="1230403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AC5951B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8F5FD95" w14:textId="68B1536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00E0FA1" w14:textId="3C4D6ED9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67A4670" w14:textId="50EBA2FF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BED244F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6</w:t>
            </w:r>
          </w:p>
        </w:tc>
      </w:tr>
      <w:tr w:rsidR="0045166D" w:rsidRPr="001539E0" w14:paraId="2C4BA79F" w14:textId="31A98395" w:rsidTr="00FB6D40">
        <w:trPr>
          <w:gridAfter w:val="4"/>
          <w:wAfter w:w="3148" w:type="dxa"/>
          <w:trHeight w:val="312"/>
        </w:trPr>
        <w:tc>
          <w:tcPr>
            <w:tcW w:w="144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880650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CBCB4E9" w14:textId="5A5BB12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28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E750DA9" w14:textId="5473ECD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0AFBBC4" w14:textId="4A71D9C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0C33754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C2E6549" w14:textId="72368E06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AF07E35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26852D" w14:textId="31F3666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BD00BF4" w14:textId="61AD535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7676C1B" w14:textId="4E6A952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5AB00D5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</w:tr>
      <w:tr w:rsidR="0045166D" w:rsidRPr="001539E0" w14:paraId="058E71D1" w14:textId="77777777" w:rsidTr="00FB6D40">
        <w:trPr>
          <w:gridAfter w:val="4"/>
          <w:wAfter w:w="3148" w:type="dxa"/>
          <w:trHeight w:val="312"/>
        </w:trPr>
        <w:tc>
          <w:tcPr>
            <w:tcW w:w="144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E8512B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8C0CD60" w14:textId="696A92F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793BD6F" w14:textId="7E5138F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522B3C43" w14:textId="2B99DD05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FB3AB15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AB72F2E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099B66D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3F84EB7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7F07129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E3211F4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1E7923D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46758172" w14:textId="0FF7B576" w:rsidTr="00FB6D40">
        <w:trPr>
          <w:gridAfter w:val="4"/>
          <w:wAfter w:w="3148" w:type="dxa"/>
          <w:trHeight w:val="312"/>
        </w:trPr>
        <w:tc>
          <w:tcPr>
            <w:tcW w:w="144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6A5A19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Turkmenistan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AD3EF4B" w14:textId="34001071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F900510" w14:textId="0D040FB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40F5B08" w14:textId="69D711D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C2415BF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F634A68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F2A41BC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328ADDA" w14:textId="3C1641E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AA2550C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0A56077" w14:textId="142D1B1B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3726410" w14:textId="0AEE0EC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</w:tr>
      <w:tr w:rsidR="0045166D" w:rsidRPr="001539E0" w14:paraId="726463B1" w14:textId="3AA9EECA" w:rsidTr="005B23AF">
        <w:trPr>
          <w:trHeight w:val="312"/>
        </w:trPr>
        <w:tc>
          <w:tcPr>
            <w:tcW w:w="1440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00253EC2" w14:textId="2D90C4EC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15175EA9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3C9730EB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6BB40B65" w14:textId="431EF12F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2FE536D3" w14:textId="2B0EA3F1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077505CA" w14:textId="4B2E70F3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F6BBCAC" w14:textId="0AE34082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5331E55B" w14:textId="6CD6E38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C38A9DA" w14:textId="0E730015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64D8E935" w14:textId="1303A8E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70778E5C" w14:textId="76B4D95C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59D6625" w14:textId="1071BEE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34A7A751" w14:textId="11C6BDF3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243A9D8A" w14:textId="63356092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</w:tr>
    </w:tbl>
    <w:p w14:paraId="6C74EB09" w14:textId="733391D2" w:rsidR="002712EA" w:rsidRPr="00916F66" w:rsidRDefault="00006C26" w:rsidP="007C1687">
      <w:pPr>
        <w:pStyle w:val="Heading2"/>
        <w:keepNext w:val="0"/>
        <w:keepLines w:val="0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rPr>
          <w:rFonts w:ascii="Cambria" w:hAnsi="Cambria" w:cs="Times New Roman"/>
          <w:b w:val="0"/>
          <w:sz w:val="20"/>
          <w:szCs w:val="20"/>
          <w:lang w:val="en-US"/>
        </w:rPr>
      </w:pPr>
      <w:r w:rsidRPr="001539E0">
        <w:rPr>
          <w:rFonts w:cs="Times New Roman"/>
          <w:i/>
          <w:lang w:val="en-US"/>
        </w:rPr>
        <w:br w:type="column"/>
      </w:r>
    </w:p>
    <w:p w14:paraId="7F300850" w14:textId="77777777" w:rsidR="007C1687" w:rsidRDefault="007C1687" w:rsidP="002712EA">
      <w:pPr>
        <w:spacing w:line="240" w:lineRule="auto"/>
        <w:rPr>
          <w:rFonts w:ascii="Cambria" w:hAnsi="Cambria" w:cs="Times New Roman"/>
          <w:b/>
          <w:sz w:val="20"/>
          <w:szCs w:val="20"/>
          <w:lang w:val="en-US"/>
        </w:rPr>
      </w:pPr>
    </w:p>
    <w:p w14:paraId="5C699ACD" w14:textId="6E5D4E1A" w:rsidR="002712EA" w:rsidRDefault="002712EA" w:rsidP="002712EA">
      <w:pPr>
        <w:spacing w:line="240" w:lineRule="auto"/>
        <w:rPr>
          <w:rFonts w:ascii="Cambria" w:hAnsi="Cambria" w:cs="Times New Roman"/>
          <w:b/>
          <w:sz w:val="20"/>
          <w:szCs w:val="20"/>
          <w:lang w:val="en-US"/>
        </w:rPr>
      </w:pPr>
      <w:r w:rsidRPr="00C65789">
        <w:rPr>
          <w:rFonts w:ascii="Cambria" w:hAnsi="Cambria" w:cs="Times New Roman"/>
          <w:b/>
          <w:sz w:val="20"/>
          <w:szCs w:val="20"/>
          <w:lang w:val="en-US"/>
        </w:rPr>
        <w:t>About CADGAT and Central Asia Regional Data Review</w:t>
      </w:r>
    </w:p>
    <w:p w14:paraId="0C8A3FEC" w14:textId="77777777" w:rsidR="00343953" w:rsidRPr="00C65789" w:rsidRDefault="00343953" w:rsidP="002712EA">
      <w:pPr>
        <w:spacing w:line="240" w:lineRule="auto"/>
        <w:rPr>
          <w:rFonts w:ascii="Cambria" w:hAnsi="Cambria" w:cs="Times New Roman"/>
          <w:b/>
          <w:sz w:val="20"/>
          <w:szCs w:val="20"/>
          <w:lang w:val="en-US"/>
        </w:rPr>
      </w:pPr>
    </w:p>
    <w:p w14:paraId="5A647EEA" w14:textId="77777777" w:rsidR="002712EA" w:rsidRPr="00916F66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>The Norwegian Institute of International Affairs (NUPI) and the OSCE Academy established the Central Asia Data-Gathering and Analysis Team (CADGAT) in 2009. The purpose of CADGAT is to produce new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cross-regional data on Central Asia that can be </w:t>
      </w:r>
      <w:r w:rsidRPr="00F877D2">
        <w:rPr>
          <w:rFonts w:ascii="Cambria" w:hAnsi="Cambria" w:cs="Times New Roman"/>
          <w:sz w:val="20"/>
          <w:szCs w:val="20"/>
          <w:lang w:val="en-US"/>
        </w:rPr>
        <w:t>used</w:t>
      </w:r>
      <w:r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AD6CD4">
        <w:rPr>
          <w:rFonts w:ascii="Cambria" w:hAnsi="Cambria" w:cs="Times New Roman"/>
          <w:sz w:val="20"/>
          <w:szCs w:val="20"/>
          <w:lang w:val="en-US"/>
        </w:rPr>
        <w:t>free</w:t>
      </w:r>
      <w:r>
        <w:rPr>
          <w:rFonts w:ascii="Cambria" w:hAnsi="Cambria" w:cs="Times New Roman"/>
          <w:sz w:val="20"/>
          <w:szCs w:val="20"/>
          <w:lang w:val="en-US"/>
        </w:rPr>
        <w:t xml:space="preserve"> of charge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by researchers, journalists, NGOs, government employees</w:t>
      </w:r>
      <w:r>
        <w:rPr>
          <w:rFonts w:ascii="Cambria" w:hAnsi="Cambria" w:cs="Times New Roman"/>
          <w:sz w:val="20"/>
          <w:szCs w:val="20"/>
          <w:lang w:val="en-US"/>
        </w:rPr>
        <w:t>,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and students</w:t>
      </w:r>
      <w:r>
        <w:rPr>
          <w:rFonts w:ascii="Cambria" w:hAnsi="Cambria" w:cs="Times New Roman"/>
          <w:sz w:val="20"/>
          <w:szCs w:val="20"/>
          <w:lang w:val="en-US"/>
        </w:rPr>
        <w:t>, both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inside and outside the region. The dat</w:t>
      </w:r>
      <w:r>
        <w:rPr>
          <w:rFonts w:ascii="Cambria" w:hAnsi="Cambria" w:cs="Times New Roman"/>
          <w:sz w:val="20"/>
          <w:szCs w:val="20"/>
          <w:lang w:val="en-US"/>
        </w:rPr>
        <w:t>a articles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can be found at</w:t>
      </w:r>
      <w:r w:rsidRPr="00F877D2">
        <w:rPr>
          <w:rFonts w:ascii="Cambria" w:hAnsi="Cambria" w:cs="Times New Roman"/>
          <w:sz w:val="20"/>
          <w:szCs w:val="20"/>
          <w:lang w:val="en-US"/>
        </w:rPr>
        <w:t xml:space="preserve"> </w:t>
      </w:r>
      <w:hyperlink r:id="rId17" w:history="1">
        <w:r w:rsidRPr="00916F66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http://osce-academy.net/en/research/cadgat</w:t>
        </w:r>
        <w:r w:rsidRPr="00A93E64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/</w:t>
        </w:r>
      </w:hyperlink>
    </w:p>
    <w:p w14:paraId="5C65CC0B" w14:textId="77777777" w:rsidR="002712EA" w:rsidRPr="00F877D2" w:rsidRDefault="002712EA" w:rsidP="002712EA">
      <w:pPr>
        <w:spacing w:line="240" w:lineRule="auto"/>
        <w:rPr>
          <w:rStyle w:val="Hyperlink"/>
          <w:rFonts w:ascii="Cambria" w:hAnsi="Cambria" w:cs="Times New Roman"/>
          <w:color w:val="auto"/>
          <w:sz w:val="20"/>
          <w:szCs w:val="20"/>
          <w:lang w:val="en-US"/>
        </w:rPr>
      </w:pPr>
    </w:p>
    <w:p w14:paraId="4851B78F" w14:textId="77777777" w:rsidR="002712EA" w:rsidRPr="00F877D2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815248">
        <w:rPr>
          <w:rFonts w:ascii="Cambria" w:hAnsi="Cambria" w:cs="Times New Roman"/>
          <w:sz w:val="20"/>
          <w:szCs w:val="20"/>
          <w:lang w:val="en-US"/>
        </w:rPr>
        <w:t xml:space="preserve">The following </w:t>
      </w:r>
      <w:r w:rsidRPr="00F877D2">
        <w:rPr>
          <w:rFonts w:ascii="Cambria" w:hAnsi="Cambria" w:cs="Times New Roman"/>
          <w:sz w:val="20"/>
          <w:szCs w:val="20"/>
          <w:lang w:val="en-US"/>
        </w:rPr>
        <w:t>CADGAT data articles have been published:</w:t>
      </w:r>
    </w:p>
    <w:p w14:paraId="01FBC291" w14:textId="77777777" w:rsidR="002712EA" w:rsidRPr="00F877D2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9A624FF" w14:textId="7A3C5EB8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1. Hydroelectric dams and conflict in Central Asia</w:t>
      </w:r>
    </w:p>
    <w:p w14:paraId="65E612F1" w14:textId="790A9F6B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2. The narcotics trade and related issues in Central Asia</w:t>
      </w:r>
    </w:p>
    <w:p w14:paraId="46718C41" w14:textId="2792BF56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3. Language use and language policy in Central Asia</w:t>
      </w:r>
    </w:p>
    <w:p w14:paraId="0D1E7840" w14:textId="43C31CA2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4. The transportation sector in Central Asia</w:t>
      </w:r>
    </w:p>
    <w:p w14:paraId="64F7F289" w14:textId="2F2E5D40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5. Road transportation in Central Asia</w:t>
      </w:r>
    </w:p>
    <w:p w14:paraId="17204FF5" w14:textId="20BC3765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6. Gender and politics in Central Asia</w:t>
      </w:r>
    </w:p>
    <w:p w14:paraId="4DA829D8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7. Political relations in Central Asia</w:t>
      </w:r>
    </w:p>
    <w:p w14:paraId="475A1404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8. Trade policies and major export items in Central Asia</w:t>
      </w:r>
    </w:p>
    <w:p w14:paraId="65BEC168" w14:textId="2DA6FCC8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9. Intra-regional trade in Central Asia</w:t>
      </w:r>
    </w:p>
    <w:p w14:paraId="620E9875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10. Trade barriers and tariffs in Central Asia</w:t>
      </w:r>
    </w:p>
    <w:p w14:paraId="64FBAD00" w14:textId="18D7E633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 xml:space="preserve">11. </w:t>
      </w:r>
      <w:r w:rsidRPr="000033E3">
        <w:rPr>
          <w:rFonts w:ascii="Cambria" w:hAnsi="Cambria" w:cs="Times New Roman"/>
          <w:bCs/>
          <w:sz w:val="20"/>
          <w:szCs w:val="20"/>
          <w:lang w:val="en-GB"/>
        </w:rPr>
        <w:t>Holidays in Central Asia. Part I: Laws and official holidays</w:t>
      </w:r>
    </w:p>
    <w:p w14:paraId="2628B371" w14:textId="44A213A1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12. Holidays in Central Asia. Part II: Professional and working holidays</w:t>
      </w:r>
    </w:p>
    <w:p w14:paraId="0278B2BF" w14:textId="4DBF72C0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13. Media in Central Asia: Print Media</w:t>
      </w:r>
    </w:p>
    <w:p w14:paraId="6B6E01CE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14. Media in Central Asia: TV</w:t>
      </w:r>
    </w:p>
    <w:p w14:paraId="7648336C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15. Media in Central Asia: Radio</w:t>
      </w:r>
    </w:p>
    <w:p w14:paraId="4AE9A341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16. Renewable energy policies of the Central Asian countries</w:t>
      </w:r>
    </w:p>
    <w:p w14:paraId="0028D98C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17. Wind power potential of the Central Asian countries</w:t>
      </w:r>
    </w:p>
    <w:p w14:paraId="3A2E76AC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18. Solar power potential of the Central Asian countries</w:t>
      </w:r>
    </w:p>
    <w:p w14:paraId="238B81C6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19. Hydropower potential of the Central Asian countries</w:t>
      </w:r>
    </w:p>
    <w:p w14:paraId="39FE5043" w14:textId="380009FE" w:rsidR="00AA45B9" w:rsidRPr="00EF4151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 xml:space="preserve">20. </w:t>
      </w:r>
      <w:r w:rsidR="00EF4151" w:rsidRPr="00EF4151">
        <w:rPr>
          <w:rFonts w:ascii="Cambria" w:hAnsi="Cambria" w:cs="Times New Roman"/>
          <w:bCs/>
          <w:sz w:val="20"/>
          <w:szCs w:val="20"/>
          <w:lang w:val="en-GB"/>
        </w:rPr>
        <w:t xml:space="preserve">BRI in Central Asia: Overview of Chinese </w:t>
      </w:r>
      <w:r w:rsidR="00EF4151">
        <w:rPr>
          <w:rFonts w:ascii="Cambria" w:hAnsi="Cambria" w:cs="Times New Roman"/>
          <w:bCs/>
          <w:sz w:val="20"/>
          <w:szCs w:val="20"/>
          <w:lang w:val="en-GB"/>
        </w:rPr>
        <w:t>p</w:t>
      </w:r>
      <w:r w:rsidR="00EF4151" w:rsidRPr="00EF4151">
        <w:rPr>
          <w:rFonts w:ascii="Cambria" w:hAnsi="Cambria" w:cs="Times New Roman"/>
          <w:bCs/>
          <w:sz w:val="20"/>
          <w:szCs w:val="20"/>
          <w:lang w:val="en-GB"/>
        </w:rPr>
        <w:t>rojects</w:t>
      </w:r>
    </w:p>
    <w:p w14:paraId="290C4E99" w14:textId="7B1DBEC4" w:rsidR="002712EA" w:rsidRDefault="002712EA" w:rsidP="002712EA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</w:p>
    <w:p w14:paraId="3F2C5898" w14:textId="77777777" w:rsidR="007C1687" w:rsidRPr="00F877D2" w:rsidRDefault="007C1687" w:rsidP="002712EA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</w:p>
    <w:p w14:paraId="48FC88DF" w14:textId="77777777" w:rsidR="002712EA" w:rsidRPr="00916F66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 xml:space="preserve">CADGAT has also produced a database 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on </w:t>
      </w:r>
      <w:r w:rsidRPr="00F877D2">
        <w:rPr>
          <w:rFonts w:ascii="Cambria" w:hAnsi="Cambria" w:cs="Times New Roman"/>
          <w:sz w:val="20"/>
          <w:szCs w:val="20"/>
          <w:lang w:val="en-US"/>
        </w:rPr>
        <w:t xml:space="preserve">Elites in Central Asia, which can be found at </w:t>
      </w:r>
      <w:hyperlink r:id="rId18" w:history="1">
        <w:r w:rsidRPr="00916F66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http://osce-academy.net/_dbelite</w:t>
        </w:r>
        <w:r w:rsidRPr="00CB08F4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/</w:t>
        </w:r>
      </w:hyperlink>
    </w:p>
    <w:p w14:paraId="1B1BB1CC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080B056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33F982D3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61C993F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22FA908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3A34D3CD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7AE1FFD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47A7CDA4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B88F5A2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043EE4B" w14:textId="6CB6013E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D5AAAE0" w14:textId="3A5A16E3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D2CCF31" w14:textId="2B1564A4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6EC2B93F" w14:textId="3F49A5A4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76452E2" w14:textId="2ECC5476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6FD0FAB9" w14:textId="3F2F6C77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960E261" w14:textId="34D97237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4FF6CB1" w14:textId="77777777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69196DB0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F91ECDB" w14:textId="1E53FF0E" w:rsidR="002712EA" w:rsidRPr="001A0770" w:rsidRDefault="002712EA" w:rsidP="002712EA">
      <w:pPr>
        <w:spacing w:line="240" w:lineRule="auto"/>
        <w:ind w:left="2124"/>
        <w:rPr>
          <w:rFonts w:ascii="Cambria" w:hAnsi="Cambria"/>
          <w:sz w:val="20"/>
          <w:lang w:val="en-US"/>
        </w:rPr>
      </w:pPr>
      <w:r w:rsidRPr="00EC3400">
        <w:rPr>
          <w:rFonts w:eastAsia="SimSun"/>
          <w:bCs/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4520E812" wp14:editId="1A73D821">
            <wp:simplePos x="0" y="0"/>
            <wp:positionH relativeFrom="column">
              <wp:posOffset>2540</wp:posOffset>
            </wp:positionH>
            <wp:positionV relativeFrom="paragraph">
              <wp:posOffset>41910</wp:posOffset>
            </wp:positionV>
            <wp:extent cx="1602105" cy="572770"/>
            <wp:effectExtent l="0" t="0" r="0" b="0"/>
            <wp:wrapTight wrapText="bothSides">
              <wp:wrapPolygon edited="0">
                <wp:start x="0" y="0"/>
                <wp:lineTo x="0" y="21073"/>
                <wp:lineTo x="21403" y="21073"/>
                <wp:lineTo x="21403" y="0"/>
                <wp:lineTo x="0" y="0"/>
              </wp:wrapPolygon>
            </wp:wrapTight>
            <wp:docPr id="5" name="Picture 5" descr="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Righ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770">
        <w:rPr>
          <w:rFonts w:eastAsia="SimSun"/>
          <w:bCs/>
          <w:lang w:val="en-US"/>
        </w:rPr>
        <w:t xml:space="preserve">© </w:t>
      </w:r>
      <w:r w:rsidRPr="008B28DD">
        <w:rPr>
          <w:rFonts w:eastAsia="SimSun"/>
          <w:bCs/>
          <w:lang w:val="en-US"/>
        </w:rPr>
        <w:t>201</w:t>
      </w:r>
      <w:r>
        <w:rPr>
          <w:rFonts w:eastAsia="SimSun"/>
          <w:bCs/>
          <w:lang w:val="en-US"/>
        </w:rPr>
        <w:t>9</w:t>
      </w:r>
      <w:r w:rsidRPr="008B28DD">
        <w:rPr>
          <w:rFonts w:eastAsia="SimSun"/>
          <w:bCs/>
          <w:lang w:val="en-US"/>
        </w:rPr>
        <w:t xml:space="preserve"> by the </w:t>
      </w:r>
      <w:r>
        <w:rPr>
          <w:rFonts w:eastAsia="SimSun"/>
          <w:bCs/>
          <w:lang w:val="en-US"/>
        </w:rPr>
        <w:t>authors</w:t>
      </w:r>
      <w:r w:rsidRPr="008B28DD">
        <w:rPr>
          <w:rFonts w:eastAsia="SimSun"/>
          <w:bCs/>
          <w:lang w:val="en-US"/>
        </w:rPr>
        <w:t>. This is an open access publication under the terms and conditions of the Creative Commons Attribution (CC BY) license (</w:t>
      </w:r>
      <w:hyperlink r:id="rId20" w:history="1">
        <w:r w:rsidRPr="008B28DD">
          <w:rPr>
            <w:rStyle w:val="Hyperlink"/>
            <w:rFonts w:eastAsia="SimSun"/>
            <w:bCs/>
            <w:lang w:val="en-US"/>
          </w:rPr>
          <w:t>http://creativecommons.org/licenses/by/4.0/</w:t>
        </w:r>
      </w:hyperlink>
      <w:r w:rsidRPr="008B28DD">
        <w:rPr>
          <w:rFonts w:eastAsia="SimSun"/>
          <w:bCs/>
          <w:lang w:val="en-US"/>
        </w:rPr>
        <w:t>). The material can be used freely, as long as a reference to this article is included.</w:t>
      </w:r>
    </w:p>
    <w:sectPr w:rsidR="002712EA" w:rsidRPr="001A0770" w:rsidSect="007F5670">
      <w:headerReference w:type="default" r:id="rId2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E661" w14:textId="77777777" w:rsidR="00DB4AB6" w:rsidRDefault="00DB4AB6" w:rsidP="006A525D">
      <w:pPr>
        <w:spacing w:line="240" w:lineRule="auto"/>
      </w:pPr>
      <w:r>
        <w:separator/>
      </w:r>
    </w:p>
  </w:endnote>
  <w:endnote w:type="continuationSeparator" w:id="0">
    <w:p w14:paraId="0949CB02" w14:textId="77777777" w:rsidR="00DB4AB6" w:rsidRDefault="00DB4AB6" w:rsidP="006A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ia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E410" w14:textId="77777777" w:rsidR="00221AD5" w:rsidRDefault="00221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927457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656F26D7" w14:textId="3689B1DE" w:rsidR="00FB6D40" w:rsidRPr="00221AD5" w:rsidRDefault="00FB6D40" w:rsidP="00233CE2">
        <w:pPr>
          <w:pStyle w:val="Footer"/>
          <w:jc w:val="right"/>
          <w:rPr>
            <w:rFonts w:asciiTheme="majorHAnsi" w:hAnsiTheme="majorHAnsi" w:cs="Times New Roman"/>
          </w:rPr>
        </w:pPr>
        <w:r w:rsidRPr="00221AD5">
          <w:rPr>
            <w:rFonts w:asciiTheme="majorHAnsi" w:hAnsiTheme="majorHAnsi" w:cs="Times New Roman"/>
          </w:rPr>
          <w:fldChar w:fldCharType="begin"/>
        </w:r>
        <w:r w:rsidRPr="00221AD5">
          <w:rPr>
            <w:rFonts w:asciiTheme="majorHAnsi" w:hAnsiTheme="majorHAnsi" w:cs="Times New Roman"/>
          </w:rPr>
          <w:instrText xml:space="preserve"> PAGE   \* MERGEFORMAT </w:instrText>
        </w:r>
        <w:r w:rsidRPr="00221AD5">
          <w:rPr>
            <w:rFonts w:asciiTheme="majorHAnsi" w:hAnsiTheme="majorHAnsi" w:cs="Times New Roman"/>
          </w:rPr>
          <w:fldChar w:fldCharType="separate"/>
        </w:r>
        <w:r w:rsidRPr="00221AD5">
          <w:rPr>
            <w:rFonts w:asciiTheme="majorHAnsi" w:hAnsiTheme="majorHAnsi" w:cs="Times New Roman"/>
            <w:noProof/>
          </w:rPr>
          <w:t>2</w:t>
        </w:r>
        <w:r w:rsidRPr="00221AD5">
          <w:rPr>
            <w:rFonts w:asciiTheme="majorHAnsi" w:hAnsiTheme="majorHAnsi" w:cs="Times New Roman"/>
            <w:noProof/>
          </w:rPr>
          <w:fldChar w:fldCharType="end"/>
        </w:r>
      </w:p>
    </w:sdtContent>
  </w:sdt>
  <w:p w14:paraId="7431E483" w14:textId="77777777" w:rsidR="00FB6D40" w:rsidRDefault="00FB6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2542" w14:textId="77777777" w:rsidR="00221AD5" w:rsidRDefault="00221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D847" w14:textId="77777777" w:rsidR="00DB4AB6" w:rsidRDefault="00DB4AB6" w:rsidP="006A525D">
      <w:pPr>
        <w:spacing w:line="240" w:lineRule="auto"/>
      </w:pPr>
      <w:r>
        <w:separator/>
      </w:r>
    </w:p>
  </w:footnote>
  <w:footnote w:type="continuationSeparator" w:id="0">
    <w:p w14:paraId="12A82600" w14:textId="77777777" w:rsidR="00DB4AB6" w:rsidRDefault="00DB4AB6" w:rsidP="006A525D">
      <w:pPr>
        <w:spacing w:line="240" w:lineRule="auto"/>
      </w:pPr>
      <w:r>
        <w:continuationSeparator/>
      </w:r>
    </w:p>
  </w:footnote>
  <w:footnote w:id="1">
    <w:p w14:paraId="6849EE0E" w14:textId="2F87F1A5" w:rsidR="00FB6D40" w:rsidRPr="00976E84" w:rsidRDefault="00FB6D40" w:rsidP="00976E84">
      <w:pPr>
        <w:pStyle w:val="FootnoteText"/>
        <w:jc w:val="left"/>
        <w:rPr>
          <w:sz w:val="18"/>
          <w:szCs w:val="18"/>
          <w:lang w:val="en-US"/>
        </w:rPr>
      </w:pPr>
      <w:r w:rsidRPr="0001367C">
        <w:rPr>
          <w:rStyle w:val="FootnoteReference"/>
          <w:color w:val="000000" w:themeColor="text1"/>
          <w:sz w:val="16"/>
          <w:szCs w:val="16"/>
        </w:rPr>
        <w:footnoteRef/>
      </w:r>
      <w:r w:rsidRPr="0001367C">
        <w:rPr>
          <w:color w:val="000000" w:themeColor="text1"/>
          <w:sz w:val="16"/>
          <w:szCs w:val="16"/>
          <w:lang w:val="en-US"/>
        </w:rPr>
        <w:t>For more detail</w:t>
      </w:r>
      <w:r>
        <w:rPr>
          <w:color w:val="000000" w:themeColor="text1"/>
          <w:sz w:val="16"/>
          <w:szCs w:val="16"/>
          <w:lang w:val="en-US"/>
        </w:rPr>
        <w:t>,</w:t>
      </w:r>
      <w:r w:rsidRPr="0001367C">
        <w:rPr>
          <w:color w:val="000000" w:themeColor="text1"/>
          <w:sz w:val="16"/>
          <w:szCs w:val="16"/>
          <w:lang w:val="en-US"/>
        </w:rPr>
        <w:t xml:space="preserve"> see: </w:t>
      </w:r>
      <w:hyperlink r:id="rId1" w:history="1">
        <w:r w:rsidRPr="0001367C">
          <w:rPr>
            <w:rStyle w:val="Hyperlink"/>
            <w:color w:val="000000" w:themeColor="text1"/>
            <w:sz w:val="16"/>
            <w:szCs w:val="16"/>
            <w:lang w:val="en-US"/>
          </w:rPr>
          <w:t>http://www.beltandroadforum.org/english/n100/2017/0410/c22-45.html</w:t>
        </w:r>
      </w:hyperlink>
      <w:r w:rsidRPr="0001367C">
        <w:rPr>
          <w:color w:val="000000" w:themeColor="text1"/>
          <w:sz w:val="18"/>
          <w:szCs w:val="18"/>
          <w:lang w:val="en-US"/>
        </w:rPr>
        <w:t xml:space="preserve"> </w:t>
      </w:r>
    </w:p>
  </w:footnote>
  <w:footnote w:id="2">
    <w:p w14:paraId="09936006" w14:textId="77777777" w:rsidR="00FB6D40" w:rsidRDefault="00FB6D40" w:rsidP="003771C4">
      <w:pPr>
        <w:pStyle w:val="FootnoteText"/>
        <w:rPr>
          <w:rFonts w:asciiTheme="majorHAnsi" w:hAnsiTheme="majorHAnsi" w:cs="Times New Roman"/>
          <w:color w:val="000000" w:themeColor="text1"/>
          <w:sz w:val="16"/>
          <w:szCs w:val="16"/>
          <w:lang w:val="en-GB"/>
        </w:rPr>
      </w:pPr>
      <w:r w:rsidRPr="0001367C">
        <w:rPr>
          <w:rStyle w:val="FootnoteReference"/>
          <w:color w:val="000000" w:themeColor="text1"/>
          <w:sz w:val="16"/>
          <w:szCs w:val="16"/>
        </w:rPr>
        <w:footnoteRef/>
      </w:r>
      <w:r w:rsidRPr="0001367C">
        <w:rPr>
          <w:color w:val="000000" w:themeColor="text1"/>
          <w:sz w:val="16"/>
          <w:szCs w:val="16"/>
          <w:lang w:val="en-US"/>
        </w:rPr>
        <w:t xml:space="preserve"> </w:t>
      </w:r>
      <w:r w:rsidRPr="0001367C">
        <w:rPr>
          <w:rFonts w:asciiTheme="majorHAnsi" w:hAnsiTheme="majorHAnsi" w:cstheme="minorHAnsi"/>
          <w:color w:val="000000" w:themeColor="text1"/>
          <w:sz w:val="16"/>
          <w:szCs w:val="16"/>
          <w:lang w:val="en-GB"/>
        </w:rPr>
        <w:t>Vakulchuk, Roman and Indra Overland (2019) “China’s Belt and Road Initiative through the Lens of Central Asia”, in Fanny M. Cheung and Ying-</w:t>
      </w:r>
      <w:proofErr w:type="spellStart"/>
      <w:r w:rsidRPr="0001367C">
        <w:rPr>
          <w:rFonts w:asciiTheme="majorHAnsi" w:hAnsiTheme="majorHAnsi" w:cstheme="minorHAnsi"/>
          <w:color w:val="000000" w:themeColor="text1"/>
          <w:sz w:val="16"/>
          <w:szCs w:val="16"/>
          <w:lang w:val="en-GB"/>
        </w:rPr>
        <w:t>yi</w:t>
      </w:r>
      <w:proofErr w:type="spellEnd"/>
      <w:r w:rsidRPr="0001367C">
        <w:rPr>
          <w:rFonts w:asciiTheme="majorHAnsi" w:hAnsiTheme="majorHAnsi" w:cstheme="minorHAnsi"/>
          <w:color w:val="000000" w:themeColor="text1"/>
          <w:sz w:val="16"/>
          <w:szCs w:val="16"/>
          <w:lang w:val="en-GB"/>
        </w:rPr>
        <w:t xml:space="preserve"> Hong (eds) </w:t>
      </w:r>
      <w:r w:rsidRPr="0001367C">
        <w:rPr>
          <w:rFonts w:asciiTheme="majorHAnsi" w:hAnsiTheme="majorHAnsi" w:cstheme="minorHAnsi"/>
          <w:i/>
          <w:color w:val="000000" w:themeColor="text1"/>
          <w:sz w:val="16"/>
          <w:szCs w:val="16"/>
          <w:lang w:val="en-GB"/>
        </w:rPr>
        <w:t>Regional Connection under the Belt and Road Initiative. The Prospects for Economic and Financial Cooperation</w:t>
      </w:r>
      <w:r w:rsidRPr="0001367C">
        <w:rPr>
          <w:rFonts w:asciiTheme="majorHAnsi" w:hAnsiTheme="majorHAnsi" w:cstheme="minorHAnsi"/>
          <w:color w:val="000000" w:themeColor="text1"/>
          <w:sz w:val="16"/>
          <w:szCs w:val="16"/>
          <w:lang w:val="en-GB"/>
        </w:rPr>
        <w:t>.</w:t>
      </w:r>
      <w:r w:rsidRPr="0001367C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r w:rsidRPr="0001367C">
        <w:rPr>
          <w:rFonts w:asciiTheme="majorHAnsi" w:hAnsiTheme="majorHAnsi" w:cs="Times New Roman"/>
          <w:color w:val="000000" w:themeColor="text1"/>
          <w:sz w:val="16"/>
          <w:szCs w:val="16"/>
          <w:lang w:val="en-GB"/>
        </w:rPr>
        <w:t xml:space="preserve">London: Routledge, pp. 115–133. Available at: </w:t>
      </w:r>
    </w:p>
    <w:p w14:paraId="005AC124" w14:textId="7D8E1D01" w:rsidR="00FB6D40" w:rsidRPr="0001367C" w:rsidRDefault="00DB4AB6" w:rsidP="003771C4">
      <w:pPr>
        <w:pStyle w:val="FootnoteText"/>
        <w:rPr>
          <w:color w:val="000000" w:themeColor="text1"/>
          <w:sz w:val="16"/>
          <w:szCs w:val="16"/>
          <w:lang w:val="en-US"/>
        </w:rPr>
      </w:pPr>
      <w:hyperlink r:id="rId2" w:history="1">
        <w:r w:rsidR="00FB6D40" w:rsidRPr="00646006">
          <w:rPr>
            <w:rStyle w:val="Hyperlink"/>
            <w:rFonts w:asciiTheme="majorHAnsi" w:hAnsiTheme="majorHAnsi"/>
            <w:color w:val="000000" w:themeColor="text1"/>
            <w:sz w:val="16"/>
            <w:szCs w:val="16"/>
            <w:lang w:val="en-US"/>
          </w:rPr>
          <w:t>https://www.researchgate.net/publication/329310641</w:t>
        </w:r>
      </w:hyperlink>
    </w:p>
  </w:footnote>
  <w:footnote w:id="3">
    <w:p w14:paraId="073FC352" w14:textId="77777777" w:rsidR="00FB6D40" w:rsidRPr="006E482F" w:rsidRDefault="00FB6D40" w:rsidP="00DB083F">
      <w:pPr>
        <w:pStyle w:val="FootnoteText"/>
        <w:rPr>
          <w:rFonts w:asciiTheme="majorHAnsi" w:hAnsiTheme="majorHAnsi"/>
          <w:sz w:val="16"/>
          <w:szCs w:val="16"/>
          <w:lang w:val="en-US"/>
        </w:rPr>
      </w:pPr>
      <w:r w:rsidRPr="006E482F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6E482F">
        <w:rPr>
          <w:rFonts w:asciiTheme="majorHAnsi" w:hAnsiTheme="majorHAnsi"/>
          <w:sz w:val="16"/>
          <w:szCs w:val="16"/>
          <w:lang w:val="en-US"/>
        </w:rPr>
        <w:t xml:space="preserve"> Here and throughout: “NA” means “no information has been found/is available”.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73E3" w14:textId="77777777" w:rsidR="00221AD5" w:rsidRDefault="00221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456D" w14:textId="409BAEA6" w:rsidR="00FB6D40" w:rsidRPr="001A0770" w:rsidRDefault="00FB6D40" w:rsidP="00852790">
    <w:pPr>
      <w:spacing w:line="240" w:lineRule="auto"/>
      <w:jc w:val="center"/>
      <w:rPr>
        <w:rFonts w:ascii="Cambria" w:hAnsi="Cambria" w:cs="Times New Roman"/>
        <w:color w:val="000000" w:themeColor="text1"/>
        <w:sz w:val="18"/>
        <w:szCs w:val="18"/>
        <w:lang w:val="en-US"/>
      </w:rPr>
    </w:pPr>
    <w:r w:rsidRPr="001A0770">
      <w:rPr>
        <w:rFonts w:ascii="Cambria" w:hAnsi="Cambria" w:cs="Times New Roman"/>
        <w:color w:val="000000" w:themeColor="text1"/>
        <w:sz w:val="18"/>
        <w:szCs w:val="18"/>
        <w:lang w:val="en-US"/>
      </w:rPr>
      <w:t>Central Asia Regional Data Review 19 (2019) 1–</w:t>
    </w:r>
    <w:r>
      <w:rPr>
        <w:rFonts w:ascii="Cambria" w:hAnsi="Cambria" w:cs="Times New Roman"/>
        <w:color w:val="000000" w:themeColor="text1"/>
        <w:sz w:val="18"/>
        <w:szCs w:val="18"/>
        <w:lang w:val="en-US"/>
      </w:rPr>
      <w:t>5</w:t>
    </w:r>
    <w:r w:rsidRPr="001A0770">
      <w:rPr>
        <w:rFonts w:ascii="Cambria" w:hAnsi="Cambria" w:cs="Times New Roman"/>
        <w:color w:val="000000" w:themeColor="text1"/>
        <w:sz w:val="18"/>
        <w:szCs w:val="18"/>
        <w:lang w:val="en-US"/>
      </w:rPr>
      <w:t>.</w:t>
    </w:r>
  </w:p>
  <w:p w14:paraId="30315CFD" w14:textId="77777777" w:rsidR="00FB6D40" w:rsidRPr="00562F31" w:rsidRDefault="00FB6D4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1FBA" w14:textId="77777777" w:rsidR="00221AD5" w:rsidRDefault="00221A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C218" w14:textId="420302B9" w:rsidR="00FB6D40" w:rsidRPr="001A0770" w:rsidRDefault="00FB6D40" w:rsidP="00852790">
    <w:pPr>
      <w:spacing w:line="240" w:lineRule="auto"/>
      <w:jc w:val="center"/>
      <w:rPr>
        <w:rFonts w:ascii="Cambria" w:hAnsi="Cambria" w:cs="Times New Roman"/>
        <w:color w:val="000000" w:themeColor="text1"/>
        <w:sz w:val="18"/>
        <w:szCs w:val="18"/>
        <w:lang w:val="en-US"/>
      </w:rPr>
    </w:pPr>
    <w:r w:rsidRPr="001A0770">
      <w:rPr>
        <w:rFonts w:ascii="Cambria" w:hAnsi="Cambria" w:cs="Times New Roman"/>
        <w:color w:val="000000" w:themeColor="text1"/>
        <w:sz w:val="18"/>
        <w:szCs w:val="18"/>
        <w:lang w:val="en-US"/>
      </w:rPr>
      <w:t xml:space="preserve">Central Asia Regional Data Review </w:t>
    </w:r>
    <w:r>
      <w:rPr>
        <w:rFonts w:ascii="Cambria" w:hAnsi="Cambria" w:cs="Times New Roman"/>
        <w:color w:val="000000" w:themeColor="text1"/>
        <w:sz w:val="18"/>
        <w:szCs w:val="18"/>
        <w:lang w:val="en-US"/>
      </w:rPr>
      <w:t>20</w:t>
    </w:r>
    <w:r w:rsidRPr="001A0770">
      <w:rPr>
        <w:rFonts w:ascii="Cambria" w:hAnsi="Cambria" w:cs="Times New Roman"/>
        <w:color w:val="000000" w:themeColor="text1"/>
        <w:sz w:val="18"/>
        <w:szCs w:val="18"/>
        <w:lang w:val="en-US"/>
      </w:rPr>
      <w:t xml:space="preserve"> (2019) 1–</w:t>
    </w:r>
    <w:r>
      <w:rPr>
        <w:rFonts w:ascii="Cambria" w:hAnsi="Cambria" w:cs="Times New Roman"/>
        <w:color w:val="000000" w:themeColor="text1"/>
        <w:sz w:val="18"/>
        <w:szCs w:val="18"/>
        <w:lang w:val="en-US"/>
      </w:rPr>
      <w:t>5</w:t>
    </w:r>
    <w:r w:rsidRPr="001A0770">
      <w:rPr>
        <w:rFonts w:ascii="Cambria" w:hAnsi="Cambria" w:cs="Times New Roman"/>
        <w:color w:val="000000" w:themeColor="text1"/>
        <w:sz w:val="18"/>
        <w:szCs w:val="18"/>
        <w:lang w:val="en-US"/>
      </w:rPr>
      <w:t>.</w:t>
    </w:r>
  </w:p>
  <w:p w14:paraId="71B4E104" w14:textId="4FF5037A" w:rsidR="00FB6D40" w:rsidRPr="00562F31" w:rsidRDefault="00FB6D40" w:rsidP="007913D1">
    <w:pPr>
      <w:pStyle w:val="Header"/>
      <w:tabs>
        <w:tab w:val="clear" w:pos="4536"/>
        <w:tab w:val="clear" w:pos="9072"/>
        <w:tab w:val="left" w:pos="710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F21"/>
    <w:multiLevelType w:val="hybridMultilevel"/>
    <w:tmpl w:val="D75809F6"/>
    <w:lvl w:ilvl="0" w:tplc="7F5EC10A">
      <w:start w:val="1"/>
      <w:numFmt w:val="decimal"/>
      <w:pStyle w:val="Heading2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12A1B8B"/>
    <w:multiLevelType w:val="hybridMultilevel"/>
    <w:tmpl w:val="BF90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05E"/>
    <w:multiLevelType w:val="hybridMultilevel"/>
    <w:tmpl w:val="71E2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61756"/>
    <w:multiLevelType w:val="hybridMultilevel"/>
    <w:tmpl w:val="0126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5665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DD0BD5"/>
    <w:multiLevelType w:val="hybridMultilevel"/>
    <w:tmpl w:val="21F4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22368"/>
    <w:multiLevelType w:val="hybridMultilevel"/>
    <w:tmpl w:val="1DB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84482"/>
    <w:multiLevelType w:val="hybridMultilevel"/>
    <w:tmpl w:val="DF06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12DF5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7423A9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4C193F"/>
    <w:multiLevelType w:val="hybridMultilevel"/>
    <w:tmpl w:val="5BCA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33578"/>
    <w:multiLevelType w:val="hybridMultilevel"/>
    <w:tmpl w:val="DBA28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79C4"/>
    <w:multiLevelType w:val="hybridMultilevel"/>
    <w:tmpl w:val="32E0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B47A0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17738F"/>
    <w:multiLevelType w:val="hybridMultilevel"/>
    <w:tmpl w:val="0422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5D"/>
    <w:rsid w:val="00000B9F"/>
    <w:rsid w:val="00000F55"/>
    <w:rsid w:val="00006655"/>
    <w:rsid w:val="00006770"/>
    <w:rsid w:val="00006796"/>
    <w:rsid w:val="00006C26"/>
    <w:rsid w:val="0001367C"/>
    <w:rsid w:val="00047BEB"/>
    <w:rsid w:val="00067F40"/>
    <w:rsid w:val="00070299"/>
    <w:rsid w:val="00073CC1"/>
    <w:rsid w:val="00075758"/>
    <w:rsid w:val="000816A3"/>
    <w:rsid w:val="00094A73"/>
    <w:rsid w:val="00095599"/>
    <w:rsid w:val="000A1E8E"/>
    <w:rsid w:val="000A2F1B"/>
    <w:rsid w:val="000A6779"/>
    <w:rsid w:val="000B2E01"/>
    <w:rsid w:val="000B641F"/>
    <w:rsid w:val="000C1D69"/>
    <w:rsid w:val="000D0416"/>
    <w:rsid w:val="000D228A"/>
    <w:rsid w:val="000D28D6"/>
    <w:rsid w:val="000D4F5B"/>
    <w:rsid w:val="000D7D41"/>
    <w:rsid w:val="000D7E18"/>
    <w:rsid w:val="000E7828"/>
    <w:rsid w:val="001030A6"/>
    <w:rsid w:val="00113F1E"/>
    <w:rsid w:val="001208BC"/>
    <w:rsid w:val="001272DD"/>
    <w:rsid w:val="00127978"/>
    <w:rsid w:val="00131F0F"/>
    <w:rsid w:val="001341B8"/>
    <w:rsid w:val="0013424D"/>
    <w:rsid w:val="0013495A"/>
    <w:rsid w:val="00135593"/>
    <w:rsid w:val="0014357C"/>
    <w:rsid w:val="00143D6F"/>
    <w:rsid w:val="00147260"/>
    <w:rsid w:val="00151371"/>
    <w:rsid w:val="001514EC"/>
    <w:rsid w:val="001539E0"/>
    <w:rsid w:val="00156009"/>
    <w:rsid w:val="00161F51"/>
    <w:rsid w:val="00165D23"/>
    <w:rsid w:val="00171398"/>
    <w:rsid w:val="0017360B"/>
    <w:rsid w:val="00174E68"/>
    <w:rsid w:val="0018085E"/>
    <w:rsid w:val="001839B5"/>
    <w:rsid w:val="00184866"/>
    <w:rsid w:val="00190CAE"/>
    <w:rsid w:val="00191689"/>
    <w:rsid w:val="0019390B"/>
    <w:rsid w:val="0019460C"/>
    <w:rsid w:val="00197DB4"/>
    <w:rsid w:val="001A0770"/>
    <w:rsid w:val="001A236E"/>
    <w:rsid w:val="001A3668"/>
    <w:rsid w:val="001B2F62"/>
    <w:rsid w:val="001B3656"/>
    <w:rsid w:val="001B4855"/>
    <w:rsid w:val="001B55EC"/>
    <w:rsid w:val="001B63F3"/>
    <w:rsid w:val="001C65C6"/>
    <w:rsid w:val="001C6BD5"/>
    <w:rsid w:val="001D1CCD"/>
    <w:rsid w:val="001E1A88"/>
    <w:rsid w:val="001E24B2"/>
    <w:rsid w:val="001E3372"/>
    <w:rsid w:val="001E5797"/>
    <w:rsid w:val="001E5F4D"/>
    <w:rsid w:val="00202959"/>
    <w:rsid w:val="0020407C"/>
    <w:rsid w:val="00205DE1"/>
    <w:rsid w:val="002144BB"/>
    <w:rsid w:val="0021525F"/>
    <w:rsid w:val="002211D7"/>
    <w:rsid w:val="00221AD5"/>
    <w:rsid w:val="00221E22"/>
    <w:rsid w:val="00225513"/>
    <w:rsid w:val="0023056C"/>
    <w:rsid w:val="00230988"/>
    <w:rsid w:val="00232327"/>
    <w:rsid w:val="00233CE2"/>
    <w:rsid w:val="00240CBD"/>
    <w:rsid w:val="0024400B"/>
    <w:rsid w:val="00244B84"/>
    <w:rsid w:val="0025328F"/>
    <w:rsid w:val="002563FD"/>
    <w:rsid w:val="00265688"/>
    <w:rsid w:val="002677BD"/>
    <w:rsid w:val="002712EA"/>
    <w:rsid w:val="002715C4"/>
    <w:rsid w:val="0028275B"/>
    <w:rsid w:val="00287FBB"/>
    <w:rsid w:val="00295E37"/>
    <w:rsid w:val="002A2283"/>
    <w:rsid w:val="002A3D95"/>
    <w:rsid w:val="002B13B9"/>
    <w:rsid w:val="002B7C76"/>
    <w:rsid w:val="002C27BE"/>
    <w:rsid w:val="002C2A09"/>
    <w:rsid w:val="002D01B6"/>
    <w:rsid w:val="002D203E"/>
    <w:rsid w:val="002D7728"/>
    <w:rsid w:val="002E6F4C"/>
    <w:rsid w:val="002E7DFA"/>
    <w:rsid w:val="002F11D2"/>
    <w:rsid w:val="002F1E4F"/>
    <w:rsid w:val="002F4736"/>
    <w:rsid w:val="00301CA6"/>
    <w:rsid w:val="003033F1"/>
    <w:rsid w:val="00305CA6"/>
    <w:rsid w:val="00305D3B"/>
    <w:rsid w:val="00310237"/>
    <w:rsid w:val="00312E5C"/>
    <w:rsid w:val="003156A9"/>
    <w:rsid w:val="00325E88"/>
    <w:rsid w:val="0032786F"/>
    <w:rsid w:val="003313CB"/>
    <w:rsid w:val="003328A8"/>
    <w:rsid w:val="003376AA"/>
    <w:rsid w:val="00342B52"/>
    <w:rsid w:val="00343953"/>
    <w:rsid w:val="003538B6"/>
    <w:rsid w:val="003551DF"/>
    <w:rsid w:val="00357796"/>
    <w:rsid w:val="003600FC"/>
    <w:rsid w:val="003631A8"/>
    <w:rsid w:val="00365389"/>
    <w:rsid w:val="00374ED5"/>
    <w:rsid w:val="003771C4"/>
    <w:rsid w:val="00377C5C"/>
    <w:rsid w:val="003800D0"/>
    <w:rsid w:val="0038168D"/>
    <w:rsid w:val="00385782"/>
    <w:rsid w:val="00397397"/>
    <w:rsid w:val="003A438C"/>
    <w:rsid w:val="003B0411"/>
    <w:rsid w:val="003B4531"/>
    <w:rsid w:val="003B536F"/>
    <w:rsid w:val="003C1A92"/>
    <w:rsid w:val="003F11E9"/>
    <w:rsid w:val="003F3479"/>
    <w:rsid w:val="003F4F60"/>
    <w:rsid w:val="003F5A1E"/>
    <w:rsid w:val="003F7ECC"/>
    <w:rsid w:val="004053C7"/>
    <w:rsid w:val="00405F72"/>
    <w:rsid w:val="004075EB"/>
    <w:rsid w:val="00413631"/>
    <w:rsid w:val="0041545D"/>
    <w:rsid w:val="00421D4D"/>
    <w:rsid w:val="00425748"/>
    <w:rsid w:val="0043502A"/>
    <w:rsid w:val="00436DFE"/>
    <w:rsid w:val="00437C86"/>
    <w:rsid w:val="00437F50"/>
    <w:rsid w:val="00444C6C"/>
    <w:rsid w:val="0044529E"/>
    <w:rsid w:val="0045166D"/>
    <w:rsid w:val="004520A3"/>
    <w:rsid w:val="00461A22"/>
    <w:rsid w:val="00461BE5"/>
    <w:rsid w:val="00465039"/>
    <w:rsid w:val="00467AA4"/>
    <w:rsid w:val="00477E7C"/>
    <w:rsid w:val="00484559"/>
    <w:rsid w:val="00485510"/>
    <w:rsid w:val="00492EB1"/>
    <w:rsid w:val="00493FBA"/>
    <w:rsid w:val="00495FCD"/>
    <w:rsid w:val="00497624"/>
    <w:rsid w:val="004A23E5"/>
    <w:rsid w:val="004A383F"/>
    <w:rsid w:val="004A5958"/>
    <w:rsid w:val="004A756B"/>
    <w:rsid w:val="004B1CEF"/>
    <w:rsid w:val="004B4B4E"/>
    <w:rsid w:val="004B60DA"/>
    <w:rsid w:val="004C02F7"/>
    <w:rsid w:val="004C062A"/>
    <w:rsid w:val="004C2720"/>
    <w:rsid w:val="004C3674"/>
    <w:rsid w:val="004D35CE"/>
    <w:rsid w:val="004D64AB"/>
    <w:rsid w:val="004F4CB2"/>
    <w:rsid w:val="004F51B9"/>
    <w:rsid w:val="005007AC"/>
    <w:rsid w:val="00502D8B"/>
    <w:rsid w:val="00504473"/>
    <w:rsid w:val="00521C43"/>
    <w:rsid w:val="005252E4"/>
    <w:rsid w:val="00533F2E"/>
    <w:rsid w:val="0053615E"/>
    <w:rsid w:val="00537B16"/>
    <w:rsid w:val="0054330E"/>
    <w:rsid w:val="00555870"/>
    <w:rsid w:val="00556C90"/>
    <w:rsid w:val="00561C2E"/>
    <w:rsid w:val="00562F31"/>
    <w:rsid w:val="005716E7"/>
    <w:rsid w:val="00580CB0"/>
    <w:rsid w:val="0059070D"/>
    <w:rsid w:val="00591F13"/>
    <w:rsid w:val="00594114"/>
    <w:rsid w:val="00595EBE"/>
    <w:rsid w:val="005A1E57"/>
    <w:rsid w:val="005A2579"/>
    <w:rsid w:val="005A6AD4"/>
    <w:rsid w:val="005B23AF"/>
    <w:rsid w:val="005C20F6"/>
    <w:rsid w:val="005D383F"/>
    <w:rsid w:val="005D47DD"/>
    <w:rsid w:val="005D6252"/>
    <w:rsid w:val="005D6583"/>
    <w:rsid w:val="005E1183"/>
    <w:rsid w:val="005E32DE"/>
    <w:rsid w:val="005F0ED8"/>
    <w:rsid w:val="00611AC7"/>
    <w:rsid w:val="00614962"/>
    <w:rsid w:val="006204A8"/>
    <w:rsid w:val="00630C32"/>
    <w:rsid w:val="006323FD"/>
    <w:rsid w:val="00633D3A"/>
    <w:rsid w:val="00636950"/>
    <w:rsid w:val="00637A1F"/>
    <w:rsid w:val="00641D7D"/>
    <w:rsid w:val="00645034"/>
    <w:rsid w:val="00645E2A"/>
    <w:rsid w:val="00646006"/>
    <w:rsid w:val="00647EE3"/>
    <w:rsid w:val="00647F1D"/>
    <w:rsid w:val="00654B0D"/>
    <w:rsid w:val="00655C06"/>
    <w:rsid w:val="0066071D"/>
    <w:rsid w:val="006608FF"/>
    <w:rsid w:val="006648B7"/>
    <w:rsid w:val="00673283"/>
    <w:rsid w:val="00684E8F"/>
    <w:rsid w:val="006922EF"/>
    <w:rsid w:val="00692362"/>
    <w:rsid w:val="00694059"/>
    <w:rsid w:val="006A173C"/>
    <w:rsid w:val="006A525D"/>
    <w:rsid w:val="006C04A3"/>
    <w:rsid w:val="006C3FA3"/>
    <w:rsid w:val="006D5BF0"/>
    <w:rsid w:val="006E086F"/>
    <w:rsid w:val="006E09BC"/>
    <w:rsid w:val="006E482F"/>
    <w:rsid w:val="006E7A3F"/>
    <w:rsid w:val="006F06AB"/>
    <w:rsid w:val="006F35B9"/>
    <w:rsid w:val="006F488E"/>
    <w:rsid w:val="00714DF0"/>
    <w:rsid w:val="00725C81"/>
    <w:rsid w:val="00734E3C"/>
    <w:rsid w:val="00734F85"/>
    <w:rsid w:val="0074142D"/>
    <w:rsid w:val="007441F7"/>
    <w:rsid w:val="00746E25"/>
    <w:rsid w:val="007475B4"/>
    <w:rsid w:val="00751A97"/>
    <w:rsid w:val="00754A73"/>
    <w:rsid w:val="00765625"/>
    <w:rsid w:val="00777FFC"/>
    <w:rsid w:val="0078025C"/>
    <w:rsid w:val="00783A74"/>
    <w:rsid w:val="00785CBD"/>
    <w:rsid w:val="007913D1"/>
    <w:rsid w:val="007937B7"/>
    <w:rsid w:val="0079624D"/>
    <w:rsid w:val="007A0686"/>
    <w:rsid w:val="007A2BF9"/>
    <w:rsid w:val="007B055D"/>
    <w:rsid w:val="007B0B97"/>
    <w:rsid w:val="007B310D"/>
    <w:rsid w:val="007B66C4"/>
    <w:rsid w:val="007C07E5"/>
    <w:rsid w:val="007C13FE"/>
    <w:rsid w:val="007C1687"/>
    <w:rsid w:val="007C441B"/>
    <w:rsid w:val="007C64F8"/>
    <w:rsid w:val="007C6593"/>
    <w:rsid w:val="007D1218"/>
    <w:rsid w:val="007D345B"/>
    <w:rsid w:val="007D3639"/>
    <w:rsid w:val="007E1ECA"/>
    <w:rsid w:val="007E5CF8"/>
    <w:rsid w:val="007E792D"/>
    <w:rsid w:val="007F092C"/>
    <w:rsid w:val="007F0B5C"/>
    <w:rsid w:val="007F5670"/>
    <w:rsid w:val="008027D5"/>
    <w:rsid w:val="008049DB"/>
    <w:rsid w:val="008112A0"/>
    <w:rsid w:val="008152B3"/>
    <w:rsid w:val="008206C0"/>
    <w:rsid w:val="0082484B"/>
    <w:rsid w:val="008248F3"/>
    <w:rsid w:val="00824DE6"/>
    <w:rsid w:val="00827910"/>
    <w:rsid w:val="00830736"/>
    <w:rsid w:val="008319B9"/>
    <w:rsid w:val="00831D43"/>
    <w:rsid w:val="00832C9A"/>
    <w:rsid w:val="008344E6"/>
    <w:rsid w:val="00844C4F"/>
    <w:rsid w:val="0085069F"/>
    <w:rsid w:val="00851EA0"/>
    <w:rsid w:val="00852790"/>
    <w:rsid w:val="008552EF"/>
    <w:rsid w:val="00855464"/>
    <w:rsid w:val="008643AC"/>
    <w:rsid w:val="00866448"/>
    <w:rsid w:val="008720A1"/>
    <w:rsid w:val="00875996"/>
    <w:rsid w:val="00880CC9"/>
    <w:rsid w:val="00881C9D"/>
    <w:rsid w:val="008861E3"/>
    <w:rsid w:val="00886298"/>
    <w:rsid w:val="00890740"/>
    <w:rsid w:val="008A266E"/>
    <w:rsid w:val="008B2507"/>
    <w:rsid w:val="008B54C7"/>
    <w:rsid w:val="008C3F4F"/>
    <w:rsid w:val="008C5A02"/>
    <w:rsid w:val="008C690F"/>
    <w:rsid w:val="008C75E6"/>
    <w:rsid w:val="008D570A"/>
    <w:rsid w:val="008D75E5"/>
    <w:rsid w:val="008D7A8A"/>
    <w:rsid w:val="008E05B4"/>
    <w:rsid w:val="008E0F99"/>
    <w:rsid w:val="008E4944"/>
    <w:rsid w:val="008F6508"/>
    <w:rsid w:val="008F6A16"/>
    <w:rsid w:val="0090684B"/>
    <w:rsid w:val="00911831"/>
    <w:rsid w:val="00921771"/>
    <w:rsid w:val="00933CFB"/>
    <w:rsid w:val="00933F2A"/>
    <w:rsid w:val="00934511"/>
    <w:rsid w:val="009422C6"/>
    <w:rsid w:val="009428CE"/>
    <w:rsid w:val="009458C2"/>
    <w:rsid w:val="00947011"/>
    <w:rsid w:val="00950555"/>
    <w:rsid w:val="00950EF6"/>
    <w:rsid w:val="00954346"/>
    <w:rsid w:val="009636DA"/>
    <w:rsid w:val="0097151B"/>
    <w:rsid w:val="00973B36"/>
    <w:rsid w:val="00976E84"/>
    <w:rsid w:val="0098227B"/>
    <w:rsid w:val="00984FB7"/>
    <w:rsid w:val="009874A3"/>
    <w:rsid w:val="00990DE5"/>
    <w:rsid w:val="009955DC"/>
    <w:rsid w:val="00996026"/>
    <w:rsid w:val="009A2B41"/>
    <w:rsid w:val="009B1F25"/>
    <w:rsid w:val="009D25CF"/>
    <w:rsid w:val="009D5142"/>
    <w:rsid w:val="009D7136"/>
    <w:rsid w:val="009E1966"/>
    <w:rsid w:val="009E4A67"/>
    <w:rsid w:val="009E6840"/>
    <w:rsid w:val="009F244F"/>
    <w:rsid w:val="009F3E8B"/>
    <w:rsid w:val="009F6119"/>
    <w:rsid w:val="009F6634"/>
    <w:rsid w:val="00A058CA"/>
    <w:rsid w:val="00A15E26"/>
    <w:rsid w:val="00A20072"/>
    <w:rsid w:val="00A22DBE"/>
    <w:rsid w:val="00A31227"/>
    <w:rsid w:val="00A32765"/>
    <w:rsid w:val="00A3378B"/>
    <w:rsid w:val="00A4168C"/>
    <w:rsid w:val="00A41A8F"/>
    <w:rsid w:val="00A455F6"/>
    <w:rsid w:val="00A46BBC"/>
    <w:rsid w:val="00A46F64"/>
    <w:rsid w:val="00A47FB8"/>
    <w:rsid w:val="00A51645"/>
    <w:rsid w:val="00A527DA"/>
    <w:rsid w:val="00A542B3"/>
    <w:rsid w:val="00A5494B"/>
    <w:rsid w:val="00A57A78"/>
    <w:rsid w:val="00A62092"/>
    <w:rsid w:val="00A64EDD"/>
    <w:rsid w:val="00A73BB4"/>
    <w:rsid w:val="00A76400"/>
    <w:rsid w:val="00A76EF7"/>
    <w:rsid w:val="00A85F32"/>
    <w:rsid w:val="00A8635F"/>
    <w:rsid w:val="00A86F99"/>
    <w:rsid w:val="00A92BE5"/>
    <w:rsid w:val="00AA45B9"/>
    <w:rsid w:val="00AB7A53"/>
    <w:rsid w:val="00AC3BB2"/>
    <w:rsid w:val="00AD2004"/>
    <w:rsid w:val="00AE0943"/>
    <w:rsid w:val="00AE4456"/>
    <w:rsid w:val="00AE55E5"/>
    <w:rsid w:val="00AE56E7"/>
    <w:rsid w:val="00B00818"/>
    <w:rsid w:val="00B060A9"/>
    <w:rsid w:val="00B060ED"/>
    <w:rsid w:val="00B12C33"/>
    <w:rsid w:val="00B146AB"/>
    <w:rsid w:val="00B14FF9"/>
    <w:rsid w:val="00B20D46"/>
    <w:rsid w:val="00B21711"/>
    <w:rsid w:val="00B2540F"/>
    <w:rsid w:val="00B27E50"/>
    <w:rsid w:val="00B33D0C"/>
    <w:rsid w:val="00B36159"/>
    <w:rsid w:val="00B36999"/>
    <w:rsid w:val="00B4057D"/>
    <w:rsid w:val="00B427D4"/>
    <w:rsid w:val="00B43559"/>
    <w:rsid w:val="00B43E27"/>
    <w:rsid w:val="00B47934"/>
    <w:rsid w:val="00B52908"/>
    <w:rsid w:val="00B531B6"/>
    <w:rsid w:val="00B53450"/>
    <w:rsid w:val="00B542C0"/>
    <w:rsid w:val="00B60D9C"/>
    <w:rsid w:val="00B61CEA"/>
    <w:rsid w:val="00B6416E"/>
    <w:rsid w:val="00B654BA"/>
    <w:rsid w:val="00B65DCB"/>
    <w:rsid w:val="00B73201"/>
    <w:rsid w:val="00B75526"/>
    <w:rsid w:val="00B8585F"/>
    <w:rsid w:val="00B923AE"/>
    <w:rsid w:val="00B9413A"/>
    <w:rsid w:val="00B94538"/>
    <w:rsid w:val="00BA528D"/>
    <w:rsid w:val="00BB0140"/>
    <w:rsid w:val="00BB1F15"/>
    <w:rsid w:val="00BB2F08"/>
    <w:rsid w:val="00BC25C1"/>
    <w:rsid w:val="00BC63A1"/>
    <w:rsid w:val="00BD063C"/>
    <w:rsid w:val="00BD217D"/>
    <w:rsid w:val="00BD244E"/>
    <w:rsid w:val="00BD4AD4"/>
    <w:rsid w:val="00BE70EC"/>
    <w:rsid w:val="00BE730A"/>
    <w:rsid w:val="00BF1314"/>
    <w:rsid w:val="00BF1C23"/>
    <w:rsid w:val="00BF49D4"/>
    <w:rsid w:val="00BF7D2F"/>
    <w:rsid w:val="00C00F40"/>
    <w:rsid w:val="00C010D4"/>
    <w:rsid w:val="00C07BF2"/>
    <w:rsid w:val="00C152AB"/>
    <w:rsid w:val="00C26F99"/>
    <w:rsid w:val="00C313D8"/>
    <w:rsid w:val="00C317B6"/>
    <w:rsid w:val="00C33D88"/>
    <w:rsid w:val="00C3539A"/>
    <w:rsid w:val="00C55DB5"/>
    <w:rsid w:val="00C60BDB"/>
    <w:rsid w:val="00C65789"/>
    <w:rsid w:val="00C71B99"/>
    <w:rsid w:val="00C772EA"/>
    <w:rsid w:val="00C87E7E"/>
    <w:rsid w:val="00C9256D"/>
    <w:rsid w:val="00C95C08"/>
    <w:rsid w:val="00CA450F"/>
    <w:rsid w:val="00CB2CE1"/>
    <w:rsid w:val="00CB7016"/>
    <w:rsid w:val="00CC0EAC"/>
    <w:rsid w:val="00CC33CB"/>
    <w:rsid w:val="00CC5A2F"/>
    <w:rsid w:val="00CD005D"/>
    <w:rsid w:val="00CD574B"/>
    <w:rsid w:val="00CD5E88"/>
    <w:rsid w:val="00CD6FAE"/>
    <w:rsid w:val="00CF35C4"/>
    <w:rsid w:val="00CF78FA"/>
    <w:rsid w:val="00D01B4E"/>
    <w:rsid w:val="00D02DCA"/>
    <w:rsid w:val="00D13481"/>
    <w:rsid w:val="00D13986"/>
    <w:rsid w:val="00D2077F"/>
    <w:rsid w:val="00D2360D"/>
    <w:rsid w:val="00D24F4C"/>
    <w:rsid w:val="00D4269A"/>
    <w:rsid w:val="00D5016D"/>
    <w:rsid w:val="00D507D1"/>
    <w:rsid w:val="00D60099"/>
    <w:rsid w:val="00D611B5"/>
    <w:rsid w:val="00D612EB"/>
    <w:rsid w:val="00D80CD6"/>
    <w:rsid w:val="00D97143"/>
    <w:rsid w:val="00DA1DFD"/>
    <w:rsid w:val="00DA4C99"/>
    <w:rsid w:val="00DA6520"/>
    <w:rsid w:val="00DB083F"/>
    <w:rsid w:val="00DB4AB6"/>
    <w:rsid w:val="00DB4C71"/>
    <w:rsid w:val="00DB7D72"/>
    <w:rsid w:val="00DB7EE4"/>
    <w:rsid w:val="00DC5CAF"/>
    <w:rsid w:val="00DF00FE"/>
    <w:rsid w:val="00DF2161"/>
    <w:rsid w:val="00DF282B"/>
    <w:rsid w:val="00DF39D5"/>
    <w:rsid w:val="00E01643"/>
    <w:rsid w:val="00E03A51"/>
    <w:rsid w:val="00E1078B"/>
    <w:rsid w:val="00E111FE"/>
    <w:rsid w:val="00E17D12"/>
    <w:rsid w:val="00E21ED9"/>
    <w:rsid w:val="00E24A66"/>
    <w:rsid w:val="00E27C66"/>
    <w:rsid w:val="00E30204"/>
    <w:rsid w:val="00E4021F"/>
    <w:rsid w:val="00E40A7D"/>
    <w:rsid w:val="00E417B2"/>
    <w:rsid w:val="00E44E29"/>
    <w:rsid w:val="00E46ADC"/>
    <w:rsid w:val="00E471A8"/>
    <w:rsid w:val="00E47E8D"/>
    <w:rsid w:val="00E54FFB"/>
    <w:rsid w:val="00E61E31"/>
    <w:rsid w:val="00E62FC6"/>
    <w:rsid w:val="00E732BB"/>
    <w:rsid w:val="00E741B7"/>
    <w:rsid w:val="00E74D6F"/>
    <w:rsid w:val="00E76036"/>
    <w:rsid w:val="00E80F39"/>
    <w:rsid w:val="00E81527"/>
    <w:rsid w:val="00E8173A"/>
    <w:rsid w:val="00E82A7C"/>
    <w:rsid w:val="00E830C2"/>
    <w:rsid w:val="00E83A06"/>
    <w:rsid w:val="00E9245B"/>
    <w:rsid w:val="00E951D1"/>
    <w:rsid w:val="00E95701"/>
    <w:rsid w:val="00E96FE0"/>
    <w:rsid w:val="00EA28EE"/>
    <w:rsid w:val="00EA2BBB"/>
    <w:rsid w:val="00EA367C"/>
    <w:rsid w:val="00EA501F"/>
    <w:rsid w:val="00EA51B3"/>
    <w:rsid w:val="00EA5D63"/>
    <w:rsid w:val="00EA6316"/>
    <w:rsid w:val="00EB061E"/>
    <w:rsid w:val="00EB0F9D"/>
    <w:rsid w:val="00EC00AE"/>
    <w:rsid w:val="00EC1A7F"/>
    <w:rsid w:val="00EC6540"/>
    <w:rsid w:val="00EC6579"/>
    <w:rsid w:val="00EC7380"/>
    <w:rsid w:val="00EC7622"/>
    <w:rsid w:val="00ED12B2"/>
    <w:rsid w:val="00ED69A9"/>
    <w:rsid w:val="00EE51AF"/>
    <w:rsid w:val="00EE68EE"/>
    <w:rsid w:val="00EF02F8"/>
    <w:rsid w:val="00EF4151"/>
    <w:rsid w:val="00EF73C7"/>
    <w:rsid w:val="00F02A24"/>
    <w:rsid w:val="00F04199"/>
    <w:rsid w:val="00F064ED"/>
    <w:rsid w:val="00F0726A"/>
    <w:rsid w:val="00F07EBC"/>
    <w:rsid w:val="00F11509"/>
    <w:rsid w:val="00F22652"/>
    <w:rsid w:val="00F22C93"/>
    <w:rsid w:val="00F25DC0"/>
    <w:rsid w:val="00F278D9"/>
    <w:rsid w:val="00F337B2"/>
    <w:rsid w:val="00F34304"/>
    <w:rsid w:val="00F346D1"/>
    <w:rsid w:val="00F36E48"/>
    <w:rsid w:val="00F379E7"/>
    <w:rsid w:val="00F4519A"/>
    <w:rsid w:val="00F563E7"/>
    <w:rsid w:val="00F62325"/>
    <w:rsid w:val="00F62D65"/>
    <w:rsid w:val="00F676E9"/>
    <w:rsid w:val="00F73387"/>
    <w:rsid w:val="00F748B5"/>
    <w:rsid w:val="00F75D44"/>
    <w:rsid w:val="00F807DE"/>
    <w:rsid w:val="00F80840"/>
    <w:rsid w:val="00F816BB"/>
    <w:rsid w:val="00F851AD"/>
    <w:rsid w:val="00F857D7"/>
    <w:rsid w:val="00F863C2"/>
    <w:rsid w:val="00F86468"/>
    <w:rsid w:val="00F867A0"/>
    <w:rsid w:val="00F8797F"/>
    <w:rsid w:val="00F962B7"/>
    <w:rsid w:val="00FA0255"/>
    <w:rsid w:val="00FA2DB8"/>
    <w:rsid w:val="00FA3340"/>
    <w:rsid w:val="00FA3D01"/>
    <w:rsid w:val="00FA4DC3"/>
    <w:rsid w:val="00FB0BDC"/>
    <w:rsid w:val="00FB20A3"/>
    <w:rsid w:val="00FB2594"/>
    <w:rsid w:val="00FB4E20"/>
    <w:rsid w:val="00FB6D40"/>
    <w:rsid w:val="00FC4131"/>
    <w:rsid w:val="00FD24F0"/>
    <w:rsid w:val="00FD50B2"/>
    <w:rsid w:val="00FD5931"/>
    <w:rsid w:val="00FE03D6"/>
    <w:rsid w:val="00FE440D"/>
    <w:rsid w:val="00FF1EB1"/>
    <w:rsid w:val="00FF6A24"/>
    <w:rsid w:val="00FF6EC2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DC7CE5"/>
  <w15:docId w15:val="{6BAF71AB-8AE8-4D5E-A377-E5232B9A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31D43"/>
    <w:pPr>
      <w:spacing w:line="276" w:lineRule="auto"/>
      <w:jc w:val="both"/>
    </w:pPr>
    <w:rPr>
      <w:rFonts w:ascii="cambia" w:eastAsiaTheme="minorHAnsi" w:hAnsi="cambia" w:cs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2A24"/>
    <w:pPr>
      <w:keepNext/>
      <w:keepLines/>
      <w:numPr>
        <w:numId w:val="7"/>
      </w:numPr>
      <w:spacing w:before="20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525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A52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52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25D"/>
    <w:rPr>
      <w:rFonts w:ascii="Arial" w:eastAsiaTheme="minorHAnsi" w:hAnsi="Arial" w:cs="Arial"/>
      <w:lang w:val="ru-RU" w:eastAsia="en-US"/>
    </w:rPr>
  </w:style>
  <w:style w:type="character" w:styleId="FootnoteReference">
    <w:name w:val="footnote reference"/>
    <w:basedOn w:val="DefaultParagraphFont"/>
    <w:uiPriority w:val="99"/>
    <w:unhideWhenUsed/>
    <w:rsid w:val="006A525D"/>
    <w:rPr>
      <w:vertAlign w:val="superscript"/>
    </w:rPr>
  </w:style>
  <w:style w:type="paragraph" w:styleId="BalloonText">
    <w:name w:val="Balloon Text"/>
    <w:basedOn w:val="Normal"/>
    <w:link w:val="BalloonTextChar"/>
    <w:rsid w:val="006A5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25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ListParagraph">
    <w:name w:val="List Paragraph"/>
    <w:basedOn w:val="Normal"/>
    <w:uiPriority w:val="34"/>
    <w:qFormat/>
    <w:rsid w:val="006A525D"/>
    <w:pPr>
      <w:ind w:left="720"/>
      <w:contextualSpacing/>
    </w:pPr>
  </w:style>
  <w:style w:type="table" w:styleId="TableGrid">
    <w:name w:val="Table Grid"/>
    <w:basedOn w:val="TableNormal"/>
    <w:uiPriority w:val="39"/>
    <w:rsid w:val="006A525D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A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25D"/>
    <w:rPr>
      <w:rFonts w:ascii="Arial" w:eastAsiaTheme="minorHAnsi" w:hAnsi="Arial" w:cs="Arial"/>
      <w:lang w:val="ru-R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A525D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000000"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A525D"/>
    <w:rPr>
      <w:rFonts w:ascii="Arial" w:eastAsia="Times New Roman" w:hAnsi="Arial" w:cs="Arial"/>
      <w:vanish/>
      <w:color w:val="000000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52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3538B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B6"/>
    <w:rPr>
      <w:rFonts w:ascii="Arial" w:eastAsiaTheme="minorHAnsi" w:hAnsi="Arial" w:cs="Arial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3538B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B6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F02A24"/>
    <w:rPr>
      <w:rFonts w:asciiTheme="majorHAnsi" w:eastAsiaTheme="majorEastAsia" w:hAnsiTheme="majorHAnsi" w:cstheme="majorBidi"/>
      <w:b/>
      <w:bCs/>
      <w:color w:val="000000" w:themeColor="text1"/>
      <w:szCs w:val="26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E26"/>
    <w:rPr>
      <w:rFonts w:ascii="Arial" w:eastAsiaTheme="minorHAnsi" w:hAnsi="Arial" w:cs="Arial"/>
      <w:b/>
      <w:bCs/>
      <w:lang w:val="ru-RU" w:eastAsia="en-US"/>
    </w:rPr>
  </w:style>
  <w:style w:type="paragraph" w:styleId="DocumentMap">
    <w:name w:val="Document Map"/>
    <w:basedOn w:val="Normal"/>
    <w:link w:val="DocumentMapChar"/>
    <w:rsid w:val="008027D5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027D5"/>
    <w:rPr>
      <w:rFonts w:ascii="Lucida Grande" w:eastAsiaTheme="minorHAnsi" w:hAnsi="Lucida Grande" w:cs="Lucida Grande"/>
      <w:lang w:val="ru-RU" w:eastAsia="en-US"/>
    </w:rPr>
  </w:style>
  <w:style w:type="paragraph" w:customStyle="1" w:styleId="j12">
    <w:name w:val="j12"/>
    <w:basedOn w:val="Normal"/>
    <w:rsid w:val="00143D6F"/>
    <w:pPr>
      <w:spacing w:line="240" w:lineRule="auto"/>
      <w:textAlignment w:val="baseline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s31">
    <w:name w:val="s31"/>
    <w:basedOn w:val="DefaultParagraphFont"/>
    <w:rsid w:val="00143D6F"/>
    <w:rPr>
      <w:vanish/>
      <w:webHidden w:val="0"/>
      <w:specVanish w:val="0"/>
    </w:rPr>
  </w:style>
  <w:style w:type="character" w:customStyle="1" w:styleId="s1">
    <w:name w:val="s1"/>
    <w:basedOn w:val="DefaultParagraphFont"/>
    <w:rsid w:val="00143D6F"/>
    <w:rPr>
      <w:rFonts w:ascii="Times New Roman" w:hAnsi="Times New Roman" w:cs="Times New Roman" w:hint="default"/>
      <w:b/>
      <w:bCs/>
      <w:color w:val="000000"/>
    </w:rPr>
  </w:style>
  <w:style w:type="paragraph" w:customStyle="1" w:styleId="title4">
    <w:name w:val="title4"/>
    <w:basedOn w:val="Normal"/>
    <w:rsid w:val="00143D6F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DA6520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ED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E62F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97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osce-academy.net/_dbelite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osce-academy.net/en/research/cadg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ce-academy.net/en/research/cadgat/" TargetMode="External"/><Relationship Id="rId20" Type="http://schemas.openxmlformats.org/officeDocument/2006/relationships/hyperlink" Target="http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searchgate.net/publication/329310641" TargetMode="External"/><Relationship Id="rId1" Type="http://schemas.openxmlformats.org/officeDocument/2006/relationships/hyperlink" Target="http://www.beltandroadforum.org/english/n100/2017/0410/c22-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F574-BDD3-0440-87BB-375490B0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Fjæstad</dc:creator>
  <cp:keywords/>
  <dc:description/>
  <cp:lastModifiedBy>Roman Vakulchuk</cp:lastModifiedBy>
  <cp:revision>245</cp:revision>
  <cp:lastPrinted>2019-01-13T21:10:00Z</cp:lastPrinted>
  <dcterms:created xsi:type="dcterms:W3CDTF">2019-05-08T10:17:00Z</dcterms:created>
  <dcterms:modified xsi:type="dcterms:W3CDTF">2019-06-18T17:58:00Z</dcterms:modified>
</cp:coreProperties>
</file>