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67" w:rsidRPr="00A66F1E" w:rsidRDefault="004B1267" w:rsidP="00A66F1E">
      <w:pPr>
        <w:pStyle w:val="Default"/>
        <w:spacing w:line="360" w:lineRule="auto"/>
        <w:jc w:val="center"/>
        <w:rPr>
          <w:lang w:val="en-GB"/>
        </w:rPr>
      </w:pPr>
      <w:bookmarkStart w:id="0" w:name="_GoBack"/>
      <w:bookmarkEnd w:id="0"/>
    </w:p>
    <w:p w:rsidR="00E332CF" w:rsidRPr="00A66F1E" w:rsidRDefault="00894B1A" w:rsidP="00894B1A">
      <w:pPr>
        <w:pStyle w:val="Default"/>
        <w:spacing w:line="360" w:lineRule="auto"/>
        <w:jc w:val="right"/>
        <w:rPr>
          <w:lang w:val="en-GB"/>
        </w:rPr>
      </w:pPr>
      <w:r w:rsidRPr="00235F4C">
        <w:rPr>
          <w:rFonts w:ascii="Arial" w:hAnsi="Arial" w:cs="Arial"/>
          <w:noProof/>
          <w:sz w:val="40"/>
          <w:szCs w:val="40"/>
          <w:lang w:val="en-US"/>
        </w:rPr>
        <w:drawing>
          <wp:anchor distT="0" distB="0" distL="114300" distR="114300" simplePos="0" relativeHeight="251659264" behindDoc="1" locked="0" layoutInCell="1" allowOverlap="1" wp14:anchorId="5527823E" wp14:editId="67BC7716">
            <wp:simplePos x="0" y="0"/>
            <wp:positionH relativeFrom="column">
              <wp:posOffset>250190</wp:posOffset>
            </wp:positionH>
            <wp:positionV relativeFrom="paragraph">
              <wp:posOffset>40005</wp:posOffset>
            </wp:positionV>
            <wp:extent cx="2364105" cy="583565"/>
            <wp:effectExtent l="0" t="0" r="0" b="6985"/>
            <wp:wrapNone/>
            <wp:docPr id="4" name="Picture 4" descr="Z:\LOGO ne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new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10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FDC" w:rsidRPr="00A66F1E">
        <w:rPr>
          <w:lang w:val="en-GB"/>
        </w:rPr>
        <w:t xml:space="preserve">  </w:t>
      </w:r>
      <w:r w:rsidR="00E86C5D" w:rsidRPr="00A66F1E">
        <w:rPr>
          <w:noProof/>
          <w:lang w:val="en-US"/>
        </w:rPr>
        <w:drawing>
          <wp:inline distT="0" distB="0" distL="0" distR="0" wp14:anchorId="5A8FA26E" wp14:editId="53573F62">
            <wp:extent cx="2680335" cy="76708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0335" cy="767080"/>
                    </a:xfrm>
                    <a:prstGeom prst="rect">
                      <a:avLst/>
                    </a:prstGeom>
                    <a:noFill/>
                    <a:ln>
                      <a:noFill/>
                    </a:ln>
                  </pic:spPr>
                </pic:pic>
              </a:graphicData>
            </a:graphic>
          </wp:inline>
        </w:drawing>
      </w:r>
    </w:p>
    <w:p w:rsidR="00E332CF" w:rsidRPr="00A66F1E" w:rsidRDefault="00E332CF" w:rsidP="00A66F1E">
      <w:pPr>
        <w:pStyle w:val="Default"/>
        <w:spacing w:line="360" w:lineRule="auto"/>
        <w:jc w:val="center"/>
        <w:rPr>
          <w:sz w:val="40"/>
          <w:szCs w:val="40"/>
          <w:lang w:val="en-GB"/>
        </w:rPr>
      </w:pPr>
    </w:p>
    <w:p w:rsidR="00E332CF" w:rsidRPr="00A66F1E" w:rsidRDefault="00E332CF" w:rsidP="00A66F1E">
      <w:pPr>
        <w:pStyle w:val="Default"/>
        <w:spacing w:line="360" w:lineRule="auto"/>
        <w:jc w:val="center"/>
        <w:rPr>
          <w:sz w:val="40"/>
          <w:szCs w:val="40"/>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r w:rsidRPr="00A66F1E">
        <w:rPr>
          <w:rFonts w:ascii="Arial" w:hAnsi="Arial" w:cs="Arial"/>
          <w:sz w:val="28"/>
          <w:szCs w:val="28"/>
          <w:lang w:val="en-GB"/>
        </w:rPr>
        <w:t>CADGAT</w:t>
      </w: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r w:rsidRPr="00A66F1E">
        <w:rPr>
          <w:rFonts w:ascii="Arial" w:hAnsi="Arial" w:cs="Arial"/>
          <w:sz w:val="28"/>
          <w:szCs w:val="28"/>
          <w:lang w:val="en-GB"/>
        </w:rPr>
        <w:t>Central Asia Data Gathering and Analysis Team</w:t>
      </w: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DA15A1" w:rsidRPr="00A66F1E" w:rsidRDefault="00E332CF" w:rsidP="009B3DA6">
      <w:pPr>
        <w:pStyle w:val="Default"/>
        <w:spacing w:line="360" w:lineRule="auto"/>
        <w:jc w:val="center"/>
        <w:rPr>
          <w:rFonts w:ascii="Arial" w:hAnsi="Arial" w:cs="Arial"/>
          <w:b/>
          <w:sz w:val="28"/>
          <w:szCs w:val="28"/>
          <w:lang w:val="en-GB"/>
        </w:rPr>
      </w:pPr>
      <w:r w:rsidRPr="00A66F1E">
        <w:rPr>
          <w:rFonts w:ascii="Arial" w:hAnsi="Arial" w:cs="Arial"/>
          <w:b/>
          <w:sz w:val="28"/>
          <w:szCs w:val="28"/>
          <w:lang w:val="en-GB"/>
        </w:rPr>
        <w:t xml:space="preserve">Trade </w:t>
      </w:r>
      <w:r w:rsidR="00DA15A1" w:rsidRPr="00A66F1E">
        <w:rPr>
          <w:rFonts w:ascii="Arial" w:hAnsi="Arial" w:cs="Arial"/>
          <w:b/>
          <w:sz w:val="28"/>
          <w:szCs w:val="28"/>
          <w:lang w:val="en-GB"/>
        </w:rPr>
        <w:t>policies and major export items</w:t>
      </w:r>
      <w:r w:rsidR="009B3DA6" w:rsidRPr="009B3DA6">
        <w:rPr>
          <w:rFonts w:ascii="Arial" w:hAnsi="Arial" w:cs="Arial"/>
          <w:b/>
          <w:sz w:val="28"/>
          <w:szCs w:val="28"/>
          <w:lang w:val="en-GB"/>
        </w:rPr>
        <w:t xml:space="preserve"> </w:t>
      </w:r>
      <w:r w:rsidR="009B3DA6" w:rsidRPr="00A66F1E">
        <w:rPr>
          <w:rFonts w:ascii="Arial" w:hAnsi="Arial" w:cs="Arial"/>
          <w:b/>
          <w:sz w:val="28"/>
          <w:szCs w:val="28"/>
          <w:lang w:val="en-GB"/>
        </w:rPr>
        <w:t>in Central Asia</w:t>
      </w: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E332CF" w:rsidRPr="00A66F1E" w:rsidRDefault="00E332CF" w:rsidP="00A66F1E">
      <w:pPr>
        <w:pStyle w:val="Default"/>
        <w:spacing w:line="360" w:lineRule="auto"/>
        <w:jc w:val="center"/>
        <w:rPr>
          <w:rFonts w:ascii="Arial" w:hAnsi="Arial" w:cs="Arial"/>
          <w:sz w:val="28"/>
          <w:szCs w:val="28"/>
          <w:lang w:val="en-GB"/>
        </w:rPr>
      </w:pPr>
    </w:p>
    <w:p w:rsidR="009B3DA6" w:rsidRDefault="009B3DA6" w:rsidP="00A66F1E">
      <w:pPr>
        <w:spacing w:line="360" w:lineRule="auto"/>
        <w:rPr>
          <w:sz w:val="28"/>
          <w:szCs w:val="28"/>
          <w:lang w:val="en-GB"/>
        </w:rPr>
      </w:pPr>
    </w:p>
    <w:p w:rsidR="009B3DA6" w:rsidRDefault="009B3DA6" w:rsidP="00A66F1E">
      <w:pPr>
        <w:spacing w:line="360" w:lineRule="auto"/>
        <w:rPr>
          <w:sz w:val="28"/>
          <w:szCs w:val="28"/>
          <w:lang w:val="en-GB"/>
        </w:rPr>
      </w:pPr>
    </w:p>
    <w:p w:rsidR="00E332CF" w:rsidRPr="00A66F1E" w:rsidRDefault="00E332CF" w:rsidP="00A66F1E">
      <w:pPr>
        <w:spacing w:line="360" w:lineRule="auto"/>
        <w:rPr>
          <w:sz w:val="28"/>
          <w:szCs w:val="28"/>
          <w:lang w:val="en-GB"/>
        </w:rPr>
      </w:pPr>
      <w:r w:rsidRPr="00A66F1E">
        <w:rPr>
          <w:sz w:val="28"/>
          <w:szCs w:val="28"/>
          <w:lang w:val="en-GB"/>
        </w:rPr>
        <w:lastRenderedPageBreak/>
        <w:t>Central Asia Regional Data Review</w:t>
      </w:r>
    </w:p>
    <w:p w:rsidR="00E332CF" w:rsidRPr="00A66F1E" w:rsidRDefault="00E332CF" w:rsidP="00A66F1E">
      <w:pPr>
        <w:spacing w:line="360" w:lineRule="auto"/>
        <w:rPr>
          <w:sz w:val="28"/>
          <w:szCs w:val="28"/>
          <w:lang w:val="en-GB"/>
        </w:rPr>
      </w:pPr>
      <w:r w:rsidRPr="00A66F1E">
        <w:rPr>
          <w:sz w:val="28"/>
          <w:szCs w:val="28"/>
          <w:lang w:val="en-GB"/>
        </w:rPr>
        <w:t xml:space="preserve">No. </w:t>
      </w:r>
      <w:r w:rsidR="00BD10FD" w:rsidRPr="00A66F1E">
        <w:rPr>
          <w:sz w:val="28"/>
          <w:szCs w:val="28"/>
          <w:lang w:val="en-GB"/>
        </w:rPr>
        <w:t>8</w:t>
      </w:r>
      <w:r w:rsidRPr="00A66F1E">
        <w:rPr>
          <w:sz w:val="28"/>
          <w:szCs w:val="28"/>
          <w:lang w:val="en-GB"/>
        </w:rPr>
        <w:t xml:space="preserve">, </w:t>
      </w:r>
      <w:r w:rsidR="005B3541" w:rsidRPr="003F4E5B">
        <w:rPr>
          <w:sz w:val="28"/>
          <w:szCs w:val="28"/>
          <w:lang w:val="en-GB"/>
        </w:rPr>
        <w:t xml:space="preserve">July </w:t>
      </w:r>
      <w:r w:rsidR="00BD10FD" w:rsidRPr="003F4E5B">
        <w:rPr>
          <w:sz w:val="28"/>
          <w:szCs w:val="28"/>
          <w:lang w:val="en-GB"/>
        </w:rPr>
        <w:t>2013</w:t>
      </w:r>
    </w:p>
    <w:p w:rsidR="00E332CF" w:rsidRPr="00A66F1E" w:rsidRDefault="00E332CF" w:rsidP="00A66F1E">
      <w:pPr>
        <w:spacing w:line="360" w:lineRule="auto"/>
        <w:rPr>
          <w:b/>
          <w:lang w:val="en-GB"/>
        </w:rPr>
      </w:pPr>
    </w:p>
    <w:p w:rsidR="00E332CF" w:rsidRPr="00A66F1E" w:rsidRDefault="00E332CF" w:rsidP="00A66F1E">
      <w:pPr>
        <w:spacing w:line="360" w:lineRule="auto"/>
        <w:rPr>
          <w:b/>
          <w:lang w:val="en-GB"/>
        </w:rPr>
      </w:pPr>
    </w:p>
    <w:p w:rsidR="00E332CF" w:rsidRPr="00A66F1E" w:rsidRDefault="00E332CF" w:rsidP="00A66F1E">
      <w:pPr>
        <w:spacing w:line="360" w:lineRule="auto"/>
        <w:jc w:val="both"/>
        <w:rPr>
          <w:noProof/>
          <w:sz w:val="20"/>
          <w:szCs w:val="20"/>
          <w:lang w:val="en-GB"/>
        </w:rPr>
      </w:pPr>
      <w:r w:rsidRPr="00A66F1E">
        <w:rPr>
          <w:sz w:val="24"/>
          <w:szCs w:val="24"/>
          <w:lang w:val="en-GB"/>
        </w:rPr>
        <w:t xml:space="preserve">In 2009, the Norwegian Institute of International Affairs (NUPI) and the OSCE Academy established the Central Asia Data-Gathering and Analysis Team (CADGAT). The purpose of CADGAT is to produce new cross-regional data on Central Asia that can be freely used by researchers, journalists, NGOs and government employees inside and outside the region. The project is managed and the reports are edited by Kristin </w:t>
      </w:r>
      <w:proofErr w:type="spellStart"/>
      <w:r w:rsidRPr="00A66F1E">
        <w:rPr>
          <w:sz w:val="24"/>
          <w:szCs w:val="24"/>
          <w:lang w:val="en-GB"/>
        </w:rPr>
        <w:t>Fjaestad</w:t>
      </w:r>
      <w:proofErr w:type="spellEnd"/>
      <w:r w:rsidRPr="00A66F1E">
        <w:rPr>
          <w:sz w:val="24"/>
          <w:szCs w:val="24"/>
          <w:lang w:val="en-GB"/>
        </w:rPr>
        <w:t xml:space="preserve"> and </w:t>
      </w:r>
      <w:proofErr w:type="spellStart"/>
      <w:r w:rsidRPr="00A66F1E">
        <w:rPr>
          <w:sz w:val="24"/>
          <w:szCs w:val="24"/>
          <w:lang w:val="en-GB"/>
        </w:rPr>
        <w:t>Indra</w:t>
      </w:r>
      <w:proofErr w:type="spellEnd"/>
      <w:r w:rsidRPr="00A66F1E">
        <w:rPr>
          <w:sz w:val="24"/>
          <w:szCs w:val="24"/>
          <w:lang w:val="en-GB"/>
        </w:rPr>
        <w:t xml:space="preserve"> Overland at NUPI. Comments and questions can be sent to: cadgat@nupi.no. The datasets can be found at: www.osce-academy.net/en/cadgat/</w:t>
      </w:r>
    </w:p>
    <w:p w:rsidR="003A11B2" w:rsidRPr="001834D3" w:rsidRDefault="003A11B2" w:rsidP="00A66F1E">
      <w:pPr>
        <w:spacing w:line="360" w:lineRule="auto"/>
        <w:rPr>
          <w:rFonts w:eastAsia="SimSun"/>
          <w:bCs/>
          <w:color w:val="365F91"/>
          <w:sz w:val="28"/>
          <w:szCs w:val="28"/>
          <w:lang w:val="en-GB"/>
        </w:rPr>
      </w:pPr>
    </w:p>
    <w:p w:rsidR="003A11B2" w:rsidRPr="001834D3" w:rsidRDefault="00357567" w:rsidP="001834D3">
      <w:pPr>
        <w:spacing w:line="360" w:lineRule="auto"/>
        <w:rPr>
          <w:rFonts w:eastAsia="SimSun"/>
          <w:bCs/>
          <w:sz w:val="24"/>
          <w:szCs w:val="24"/>
          <w:lang w:val="en-GB"/>
        </w:rPr>
      </w:pPr>
      <w:r w:rsidRPr="001834D3">
        <w:rPr>
          <w:rFonts w:eastAsia="SimSun"/>
          <w:bCs/>
          <w:sz w:val="24"/>
          <w:szCs w:val="24"/>
          <w:lang w:val="en-GB"/>
        </w:rPr>
        <w:t>The following datasets have been published:</w:t>
      </w:r>
    </w:p>
    <w:p w:rsidR="001834D3" w:rsidRPr="009B3DA6" w:rsidRDefault="00357567" w:rsidP="001834D3">
      <w:pPr>
        <w:pStyle w:val="NormalWeb"/>
        <w:spacing w:line="360" w:lineRule="auto"/>
        <w:rPr>
          <w:rFonts w:ascii="Arial" w:hAnsi="Arial" w:cs="Arial"/>
          <w:bCs/>
        </w:rPr>
      </w:pPr>
      <w:r w:rsidRPr="009B13C3">
        <w:rPr>
          <w:rFonts w:ascii="Arial" w:eastAsia="SimSun" w:hAnsi="Arial" w:cs="Arial"/>
          <w:bCs/>
          <w:lang w:val="en-GB"/>
        </w:rPr>
        <w:t xml:space="preserve">1. </w:t>
      </w:r>
      <w:r w:rsidR="001834D3" w:rsidRPr="009B13C3">
        <w:rPr>
          <w:rStyle w:val="Strong"/>
          <w:rFonts w:ascii="Arial" w:hAnsi="Arial" w:cs="Arial"/>
          <w:b w:val="0"/>
        </w:rPr>
        <w:t xml:space="preserve">Hydroelectric </w:t>
      </w:r>
      <w:r w:rsidR="001834D3" w:rsidRPr="001834D3">
        <w:rPr>
          <w:rStyle w:val="Strong"/>
          <w:rFonts w:ascii="Arial" w:hAnsi="Arial" w:cs="Arial"/>
          <w:b w:val="0"/>
        </w:rPr>
        <w:t>dams and conflict in Central Asia</w:t>
      </w:r>
      <w:r w:rsidR="001834D3" w:rsidRPr="001834D3">
        <w:rPr>
          <w:rFonts w:ascii="Arial" w:hAnsi="Arial" w:cs="Arial"/>
        </w:rPr>
        <w:t xml:space="preserve"> </w:t>
      </w:r>
      <w:r w:rsidR="001834D3" w:rsidRPr="001834D3">
        <w:rPr>
          <w:rFonts w:ascii="Arial" w:hAnsi="Arial" w:cs="Arial"/>
        </w:rPr>
        <w:br/>
      </w:r>
      <w:r w:rsidR="001834D3" w:rsidRPr="001834D3">
        <w:rPr>
          <w:rStyle w:val="Strong"/>
          <w:rFonts w:ascii="Arial" w:hAnsi="Arial" w:cs="Arial"/>
          <w:b w:val="0"/>
        </w:rPr>
        <w:t>2. Narcotics Trade and Related Issues in Central Asia</w:t>
      </w:r>
      <w:r w:rsidR="001834D3" w:rsidRPr="001834D3">
        <w:rPr>
          <w:rFonts w:ascii="Arial" w:hAnsi="Arial" w:cs="Arial"/>
        </w:rPr>
        <w:t xml:space="preserve"> </w:t>
      </w:r>
      <w:r w:rsidR="001834D3" w:rsidRPr="001834D3">
        <w:rPr>
          <w:rFonts w:ascii="Arial" w:hAnsi="Arial" w:cs="Arial"/>
        </w:rPr>
        <w:br/>
      </w:r>
      <w:r w:rsidR="001834D3" w:rsidRPr="001834D3">
        <w:rPr>
          <w:rStyle w:val="Strong"/>
          <w:rFonts w:ascii="Arial" w:hAnsi="Arial" w:cs="Arial"/>
          <w:b w:val="0"/>
        </w:rPr>
        <w:t>3. Language Use and Language Policy in Central Asia</w:t>
      </w:r>
      <w:r w:rsidR="001834D3" w:rsidRPr="001834D3">
        <w:rPr>
          <w:rFonts w:ascii="Arial" w:hAnsi="Arial" w:cs="Arial"/>
        </w:rPr>
        <w:t xml:space="preserve"> </w:t>
      </w:r>
      <w:r w:rsidR="001834D3">
        <w:rPr>
          <w:rFonts w:ascii="Arial" w:hAnsi="Arial" w:cs="Arial"/>
        </w:rPr>
        <w:br/>
      </w:r>
      <w:r w:rsidR="001834D3" w:rsidRPr="001834D3">
        <w:rPr>
          <w:rStyle w:val="Strong"/>
          <w:rFonts w:ascii="Arial" w:hAnsi="Arial" w:cs="Arial"/>
          <w:b w:val="0"/>
        </w:rPr>
        <w:t xml:space="preserve">4. The Transport Sector in Central Asia </w:t>
      </w:r>
      <w:r w:rsidR="001834D3">
        <w:rPr>
          <w:rFonts w:ascii="Arial" w:hAnsi="Arial" w:cs="Arial"/>
        </w:rPr>
        <w:br/>
      </w:r>
      <w:r w:rsidR="001834D3" w:rsidRPr="001834D3">
        <w:rPr>
          <w:rFonts w:ascii="Arial" w:hAnsi="Arial" w:cs="Arial"/>
        </w:rPr>
        <w:t xml:space="preserve">5. </w:t>
      </w:r>
      <w:r w:rsidR="001834D3" w:rsidRPr="001834D3">
        <w:rPr>
          <w:rStyle w:val="Strong"/>
          <w:rFonts w:ascii="Arial" w:hAnsi="Arial" w:cs="Arial"/>
          <w:b w:val="0"/>
        </w:rPr>
        <w:t xml:space="preserve">Road Transportation in Central Asia </w:t>
      </w:r>
      <w:r w:rsidR="001834D3">
        <w:rPr>
          <w:rFonts w:ascii="Arial" w:hAnsi="Arial" w:cs="Arial"/>
        </w:rPr>
        <w:br/>
      </w:r>
      <w:r w:rsidR="001834D3" w:rsidRPr="001834D3">
        <w:rPr>
          <w:rFonts w:ascii="Arial" w:hAnsi="Arial" w:cs="Arial"/>
        </w:rPr>
        <w:t xml:space="preserve">6. </w:t>
      </w:r>
      <w:r w:rsidR="001834D3" w:rsidRPr="001834D3">
        <w:rPr>
          <w:rStyle w:val="Strong"/>
          <w:rFonts w:ascii="Arial" w:hAnsi="Arial" w:cs="Arial"/>
          <w:b w:val="0"/>
        </w:rPr>
        <w:t>Gender and Politics in Central Asia</w:t>
      </w:r>
      <w:r w:rsidR="001834D3" w:rsidRPr="001834D3">
        <w:rPr>
          <w:rFonts w:ascii="Arial" w:hAnsi="Arial" w:cs="Arial"/>
        </w:rPr>
        <w:t xml:space="preserve"> </w:t>
      </w:r>
      <w:r w:rsidR="001834D3">
        <w:rPr>
          <w:rFonts w:ascii="Arial" w:hAnsi="Arial" w:cs="Arial"/>
        </w:rPr>
        <w:br/>
      </w:r>
      <w:r w:rsidR="001834D3" w:rsidRPr="001834D3">
        <w:rPr>
          <w:rStyle w:val="Strong"/>
          <w:rFonts w:ascii="Arial" w:hAnsi="Arial" w:cs="Arial"/>
          <w:b w:val="0"/>
        </w:rPr>
        <w:t>7. Political Relations in Central Asia</w:t>
      </w:r>
      <w:r w:rsidR="001834D3" w:rsidRPr="001834D3">
        <w:rPr>
          <w:rFonts w:ascii="Arial" w:hAnsi="Arial" w:cs="Arial"/>
        </w:rPr>
        <w:t xml:space="preserve"> </w:t>
      </w:r>
      <w:r w:rsidR="001834D3" w:rsidRPr="001834D3">
        <w:rPr>
          <w:rFonts w:ascii="Arial" w:hAnsi="Arial" w:cs="Arial"/>
        </w:rPr>
        <w:br/>
        <w:t> </w:t>
      </w:r>
    </w:p>
    <w:p w:rsidR="001834D3" w:rsidRPr="001834D3" w:rsidRDefault="001834D3" w:rsidP="001834D3">
      <w:pPr>
        <w:pStyle w:val="NormalWeb"/>
        <w:spacing w:line="360" w:lineRule="auto"/>
        <w:rPr>
          <w:rFonts w:ascii="Arial" w:hAnsi="Arial" w:cs="Arial"/>
        </w:rPr>
      </w:pPr>
      <w:r w:rsidRPr="001834D3">
        <w:rPr>
          <w:rFonts w:ascii="Arial" w:hAnsi="Arial" w:cs="Arial"/>
        </w:rPr>
        <w:t>CADGAT</w:t>
      </w:r>
      <w:r>
        <w:rPr>
          <w:rFonts w:ascii="Arial" w:hAnsi="Arial" w:cs="Arial"/>
        </w:rPr>
        <w:t xml:space="preserve"> has also produced a database on</w:t>
      </w:r>
      <w:r w:rsidRPr="001834D3">
        <w:rPr>
          <w:rStyle w:val="Strong"/>
          <w:rFonts w:ascii="Arial" w:hAnsi="Arial" w:cs="Arial"/>
          <w:b w:val="0"/>
        </w:rPr>
        <w:t> </w:t>
      </w:r>
      <w:r>
        <w:rPr>
          <w:rStyle w:val="Strong"/>
          <w:rFonts w:ascii="Arial" w:hAnsi="Arial" w:cs="Arial"/>
          <w:b w:val="0"/>
          <w:lang w:val="en-GB"/>
        </w:rPr>
        <w:t>‘</w:t>
      </w:r>
      <w:r w:rsidRPr="001834D3">
        <w:rPr>
          <w:rStyle w:val="Strong"/>
          <w:rFonts w:ascii="Arial" w:hAnsi="Arial" w:cs="Arial"/>
          <w:b w:val="0"/>
        </w:rPr>
        <w:t>Elites in Central Asia</w:t>
      </w:r>
      <w:r>
        <w:rPr>
          <w:rStyle w:val="Strong"/>
          <w:rFonts w:ascii="Arial" w:hAnsi="Arial" w:cs="Arial"/>
          <w:b w:val="0"/>
        </w:rPr>
        <w:t>‘, which can be found at the same website.</w:t>
      </w:r>
      <w:r w:rsidRPr="001834D3">
        <w:rPr>
          <w:rFonts w:ascii="Arial" w:hAnsi="Arial" w:cs="Arial"/>
        </w:rPr>
        <w:t> </w:t>
      </w:r>
    </w:p>
    <w:p w:rsidR="00357567" w:rsidRDefault="00357567" w:rsidP="00A66F1E">
      <w:pPr>
        <w:spacing w:line="360" w:lineRule="auto"/>
        <w:rPr>
          <w:rFonts w:eastAsia="SimSun"/>
          <w:bCs/>
          <w:color w:val="365F91"/>
          <w:sz w:val="24"/>
          <w:szCs w:val="24"/>
          <w:lang w:val="en-GB"/>
        </w:rPr>
      </w:pPr>
    </w:p>
    <w:p w:rsidR="001834D3" w:rsidRDefault="001834D3" w:rsidP="00A66F1E">
      <w:pPr>
        <w:spacing w:line="360" w:lineRule="auto"/>
        <w:rPr>
          <w:rFonts w:eastAsia="SimSun"/>
          <w:bCs/>
          <w:color w:val="365F91"/>
          <w:sz w:val="24"/>
          <w:szCs w:val="24"/>
          <w:lang w:val="en-GB"/>
        </w:rPr>
      </w:pPr>
    </w:p>
    <w:p w:rsidR="001834D3" w:rsidRPr="001834D3" w:rsidRDefault="001834D3" w:rsidP="00A66F1E">
      <w:pPr>
        <w:spacing w:line="360" w:lineRule="auto"/>
        <w:rPr>
          <w:rFonts w:eastAsia="SimSun"/>
          <w:bCs/>
          <w:color w:val="365F91"/>
          <w:sz w:val="24"/>
          <w:szCs w:val="24"/>
          <w:lang w:val="en-GB"/>
        </w:rPr>
      </w:pPr>
    </w:p>
    <w:p w:rsidR="00AC54DF" w:rsidRPr="00A66F1E" w:rsidRDefault="00AC54DF" w:rsidP="00A66F1E">
      <w:pPr>
        <w:spacing w:line="360" w:lineRule="auto"/>
        <w:rPr>
          <w:lang w:val="en-GB"/>
        </w:rPr>
      </w:pPr>
      <w:r>
        <w:rPr>
          <w:rFonts w:eastAsia="SimSun"/>
          <w:b/>
          <w:bCs/>
          <w:sz w:val="28"/>
          <w:szCs w:val="28"/>
          <w:lang w:val="en-GB"/>
        </w:rPr>
        <w:lastRenderedPageBreak/>
        <w:t>Introduction</w:t>
      </w:r>
    </w:p>
    <w:p w:rsidR="003A11B2" w:rsidRPr="00A66F1E" w:rsidRDefault="003A11B2" w:rsidP="003F4E5B">
      <w:pPr>
        <w:spacing w:line="360" w:lineRule="auto"/>
        <w:jc w:val="both"/>
        <w:rPr>
          <w:lang w:val="en-GB"/>
        </w:rPr>
      </w:pPr>
      <w:r w:rsidRPr="00A66F1E">
        <w:rPr>
          <w:lang w:val="en-GB"/>
        </w:rPr>
        <w:t xml:space="preserve">These reports </w:t>
      </w:r>
      <w:r w:rsidR="00BD10FD" w:rsidRPr="00A66F1E">
        <w:rPr>
          <w:lang w:val="en-GB"/>
        </w:rPr>
        <w:t>present</w:t>
      </w:r>
      <w:r w:rsidRPr="00A66F1E">
        <w:rPr>
          <w:lang w:val="en-GB"/>
        </w:rPr>
        <w:t xml:space="preserve"> an important aspect of regional cooperation in Central Asia</w:t>
      </w:r>
      <w:r w:rsidR="00825F0A">
        <w:rPr>
          <w:lang w:val="en-GB"/>
        </w:rPr>
        <w:t xml:space="preserve"> – </w:t>
      </w:r>
      <w:r w:rsidRPr="00A66F1E">
        <w:rPr>
          <w:lang w:val="en-GB"/>
        </w:rPr>
        <w:t xml:space="preserve">trade. </w:t>
      </w:r>
      <w:r w:rsidR="00825F0A">
        <w:rPr>
          <w:lang w:val="en-GB"/>
        </w:rPr>
        <w:t>M</w:t>
      </w:r>
      <w:r w:rsidRPr="00A66F1E">
        <w:rPr>
          <w:lang w:val="en-GB"/>
        </w:rPr>
        <w:t xml:space="preserve">any factors speak in </w:t>
      </w:r>
      <w:r w:rsidR="00A66F1E" w:rsidRPr="00A66F1E">
        <w:rPr>
          <w:lang w:val="en-GB"/>
        </w:rPr>
        <w:t>favour</w:t>
      </w:r>
      <w:r w:rsidRPr="00A66F1E">
        <w:rPr>
          <w:lang w:val="en-GB"/>
        </w:rPr>
        <w:t xml:space="preserve"> of regional trade and cooperation</w:t>
      </w:r>
      <w:r w:rsidR="00825F0A">
        <w:rPr>
          <w:lang w:val="en-GB"/>
        </w:rPr>
        <w:t>, including</w:t>
      </w:r>
      <w:r w:rsidRPr="00A66F1E">
        <w:rPr>
          <w:lang w:val="en-GB"/>
        </w:rPr>
        <w:t xml:space="preserve"> (a) the communication, transport and energy infrastructure created by the former Soviet Union as an integrated national system</w:t>
      </w:r>
      <w:r w:rsidR="00825F0A">
        <w:rPr>
          <w:lang w:val="en-GB"/>
        </w:rPr>
        <w:t>;</w:t>
      </w:r>
      <w:r w:rsidRPr="00A66F1E">
        <w:rPr>
          <w:lang w:val="en-GB"/>
        </w:rPr>
        <w:t xml:space="preserve"> (b) environmental issues which require regional approach</w:t>
      </w:r>
      <w:r w:rsidR="00825F0A">
        <w:rPr>
          <w:lang w:val="en-GB"/>
        </w:rPr>
        <w:t>es;</w:t>
      </w:r>
      <w:r w:rsidRPr="00A66F1E">
        <w:rPr>
          <w:lang w:val="en-GB"/>
        </w:rPr>
        <w:t xml:space="preserve"> (c) the potential attracti</w:t>
      </w:r>
      <w:r w:rsidR="00825F0A">
        <w:rPr>
          <w:lang w:val="en-GB"/>
        </w:rPr>
        <w:t>on</w:t>
      </w:r>
      <w:r w:rsidRPr="00A66F1E">
        <w:rPr>
          <w:lang w:val="en-GB"/>
        </w:rPr>
        <w:t xml:space="preserve"> of </w:t>
      </w:r>
      <w:r w:rsidR="00825F0A">
        <w:rPr>
          <w:lang w:val="en-GB"/>
        </w:rPr>
        <w:t>a</w:t>
      </w:r>
      <w:r w:rsidRPr="00A66F1E">
        <w:rPr>
          <w:lang w:val="en-GB"/>
        </w:rPr>
        <w:t xml:space="preserve"> region free of trade and transit barriers for foreign and local investors</w:t>
      </w:r>
      <w:r w:rsidR="00825F0A">
        <w:rPr>
          <w:lang w:val="en-GB"/>
        </w:rPr>
        <w:t>,</w:t>
      </w:r>
      <w:r w:rsidRPr="00A66F1E">
        <w:rPr>
          <w:lang w:val="en-GB"/>
        </w:rPr>
        <w:t xml:space="preserve"> compared with the limitations of small</w:t>
      </w:r>
      <w:r w:rsidR="00825F0A">
        <w:rPr>
          <w:lang w:val="en-GB"/>
        </w:rPr>
        <w:t xml:space="preserve"> national</w:t>
      </w:r>
      <w:r w:rsidRPr="00A66F1E">
        <w:rPr>
          <w:lang w:val="en-GB"/>
        </w:rPr>
        <w:t xml:space="preserve"> economies</w:t>
      </w:r>
      <w:r w:rsidR="00825F0A">
        <w:rPr>
          <w:lang w:val="en-GB"/>
        </w:rPr>
        <w:t>;</w:t>
      </w:r>
      <w:r w:rsidRPr="00A66F1E">
        <w:rPr>
          <w:lang w:val="en-GB"/>
        </w:rPr>
        <w:t xml:space="preserve"> (d) utilization of regional cooperation to overcome geographical deficiencies and to improve access to global markets. However,</w:t>
      </w:r>
      <w:r w:rsidR="00AC54DF">
        <w:rPr>
          <w:lang w:val="en-GB"/>
        </w:rPr>
        <w:t xml:space="preserve"> </w:t>
      </w:r>
      <w:r w:rsidR="00825F0A">
        <w:rPr>
          <w:lang w:val="en-GB"/>
        </w:rPr>
        <w:t>statistics on</w:t>
      </w:r>
      <w:r w:rsidRPr="00A66F1E">
        <w:rPr>
          <w:lang w:val="en-GB"/>
        </w:rPr>
        <w:t xml:space="preserve"> intraregional trade </w:t>
      </w:r>
      <w:r w:rsidR="00825F0A">
        <w:rPr>
          <w:lang w:val="en-GB"/>
        </w:rPr>
        <w:t>indicate</w:t>
      </w:r>
      <w:r w:rsidRPr="00A66F1E">
        <w:rPr>
          <w:lang w:val="en-GB"/>
        </w:rPr>
        <w:t xml:space="preserve"> that the level of trade in the region </w:t>
      </w:r>
      <w:r w:rsidR="00825F0A">
        <w:rPr>
          <w:lang w:val="en-GB"/>
        </w:rPr>
        <w:t>has not lived up to</w:t>
      </w:r>
      <w:r w:rsidRPr="00A66F1E">
        <w:rPr>
          <w:lang w:val="en-GB"/>
        </w:rPr>
        <w:t xml:space="preserve"> its potential. </w:t>
      </w:r>
    </w:p>
    <w:p w:rsidR="003A11B2" w:rsidRPr="00A66F1E" w:rsidRDefault="003A11B2" w:rsidP="00357567">
      <w:pPr>
        <w:spacing w:line="360" w:lineRule="auto"/>
        <w:jc w:val="both"/>
        <w:rPr>
          <w:lang w:val="en-GB"/>
        </w:rPr>
      </w:pPr>
      <w:r w:rsidRPr="00A66F1E">
        <w:rPr>
          <w:lang w:val="en-GB"/>
        </w:rPr>
        <w:t>The reports (three in total) are based on data collected from various sources</w:t>
      </w:r>
      <w:r w:rsidR="00CB3A89">
        <w:rPr>
          <w:lang w:val="en-GB"/>
        </w:rPr>
        <w:t>, with</w:t>
      </w:r>
      <w:r w:rsidRPr="00A66F1E">
        <w:rPr>
          <w:lang w:val="en-GB"/>
        </w:rPr>
        <w:t xml:space="preserve"> the results of this laborious work </w:t>
      </w:r>
      <w:r w:rsidR="00CB3A89">
        <w:rPr>
          <w:lang w:val="en-GB"/>
        </w:rPr>
        <w:t xml:space="preserve">depicted </w:t>
      </w:r>
      <w:r w:rsidRPr="00A66F1E">
        <w:rPr>
          <w:lang w:val="en-GB"/>
        </w:rPr>
        <w:t xml:space="preserve">in tables and graphs. </w:t>
      </w:r>
      <w:r w:rsidR="00CB3A89">
        <w:rPr>
          <w:lang w:val="en-GB"/>
        </w:rPr>
        <w:t>As</w:t>
      </w:r>
      <w:r w:rsidRPr="00A66F1E">
        <w:rPr>
          <w:lang w:val="en-GB"/>
        </w:rPr>
        <w:t xml:space="preserve"> the data </w:t>
      </w:r>
      <w:r w:rsidR="00CB3A89">
        <w:rPr>
          <w:lang w:val="en-GB"/>
        </w:rPr>
        <w:t>come</w:t>
      </w:r>
      <w:r w:rsidRPr="00A66F1E">
        <w:rPr>
          <w:lang w:val="en-GB"/>
        </w:rPr>
        <w:t xml:space="preserve"> from different sources </w:t>
      </w:r>
      <w:r w:rsidR="00CB3A89">
        <w:rPr>
          <w:lang w:val="en-GB"/>
        </w:rPr>
        <w:t>they</w:t>
      </w:r>
      <w:r w:rsidRPr="00A66F1E">
        <w:rPr>
          <w:lang w:val="en-GB"/>
        </w:rPr>
        <w:t xml:space="preserve"> may not be free of methodological flaws. However, where possible the data </w:t>
      </w:r>
      <w:r w:rsidR="00CB3A89">
        <w:rPr>
          <w:lang w:val="en-GB"/>
        </w:rPr>
        <w:t>have been</w:t>
      </w:r>
      <w:r w:rsidRPr="00A66F1E">
        <w:rPr>
          <w:lang w:val="en-GB"/>
        </w:rPr>
        <w:t xml:space="preserve"> verified and compared with various alternative sources. </w:t>
      </w:r>
    </w:p>
    <w:p w:rsidR="003A11B2" w:rsidRPr="00A66F1E" w:rsidRDefault="006878B2" w:rsidP="003F4E5B">
      <w:pPr>
        <w:spacing w:line="360" w:lineRule="auto"/>
        <w:jc w:val="both"/>
        <w:rPr>
          <w:lang w:val="en-GB"/>
        </w:rPr>
      </w:pPr>
      <w:r w:rsidRPr="00A66F1E">
        <w:rPr>
          <w:lang w:val="en-GB"/>
        </w:rPr>
        <w:t>This</w:t>
      </w:r>
      <w:r w:rsidR="003A11B2" w:rsidRPr="00A66F1E">
        <w:rPr>
          <w:lang w:val="en-GB"/>
        </w:rPr>
        <w:t xml:space="preserve"> first report deals with trade policies and major export items of each </w:t>
      </w:r>
      <w:r w:rsidR="00CB3A89">
        <w:rPr>
          <w:lang w:val="en-GB"/>
        </w:rPr>
        <w:t xml:space="preserve">of the five </w:t>
      </w:r>
      <w:r w:rsidR="003A11B2" w:rsidRPr="00A66F1E">
        <w:rPr>
          <w:lang w:val="en-GB"/>
        </w:rPr>
        <w:t>countr</w:t>
      </w:r>
      <w:r w:rsidR="00CB3A89">
        <w:rPr>
          <w:lang w:val="en-GB"/>
        </w:rPr>
        <w:t>ies</w:t>
      </w:r>
      <w:r w:rsidR="003A11B2" w:rsidRPr="00A66F1E">
        <w:rPr>
          <w:lang w:val="en-GB"/>
        </w:rPr>
        <w:t xml:space="preserve">. </w:t>
      </w:r>
      <w:r w:rsidR="00CB3A89">
        <w:rPr>
          <w:lang w:val="en-GB"/>
        </w:rPr>
        <w:t>It</w:t>
      </w:r>
      <w:r w:rsidR="003A11B2" w:rsidRPr="00A66F1E">
        <w:rPr>
          <w:lang w:val="en-GB"/>
        </w:rPr>
        <w:t xml:space="preserve"> includes a review of</w:t>
      </w:r>
      <w:r w:rsidR="00D64907" w:rsidRPr="00A66F1E">
        <w:rPr>
          <w:lang w:val="en-GB"/>
        </w:rPr>
        <w:t xml:space="preserve"> trade policies and </w:t>
      </w:r>
      <w:r w:rsidR="003A11B2" w:rsidRPr="00A66F1E">
        <w:rPr>
          <w:lang w:val="en-GB"/>
        </w:rPr>
        <w:t>trad</w:t>
      </w:r>
      <w:r w:rsidR="00D64907" w:rsidRPr="00A66F1E">
        <w:rPr>
          <w:lang w:val="en-GB"/>
        </w:rPr>
        <w:t>e complementarity in the region</w:t>
      </w:r>
      <w:r w:rsidR="00CB3A89">
        <w:rPr>
          <w:lang w:val="en-GB"/>
        </w:rPr>
        <w:t>, and</w:t>
      </w:r>
      <w:r w:rsidR="00D64907" w:rsidRPr="00A66F1E">
        <w:rPr>
          <w:lang w:val="en-GB"/>
        </w:rPr>
        <w:t xml:space="preserve"> tables showing the </w:t>
      </w:r>
      <w:r w:rsidR="003A11B2" w:rsidRPr="00A66F1E">
        <w:rPr>
          <w:lang w:val="en-GB"/>
        </w:rPr>
        <w:t xml:space="preserve">evolution of export profiles of each country after independence. </w:t>
      </w:r>
    </w:p>
    <w:p w:rsidR="003A11B2" w:rsidRPr="00A66F1E" w:rsidRDefault="003A11B2" w:rsidP="00357567">
      <w:pPr>
        <w:spacing w:line="360" w:lineRule="auto"/>
        <w:jc w:val="both"/>
        <w:rPr>
          <w:b/>
          <w:sz w:val="24"/>
          <w:szCs w:val="24"/>
          <w:lang w:val="en-GB"/>
        </w:rPr>
      </w:pPr>
      <w:r w:rsidRPr="00A66F1E">
        <w:rPr>
          <w:b/>
          <w:sz w:val="24"/>
          <w:szCs w:val="24"/>
          <w:lang w:val="en-GB"/>
        </w:rPr>
        <w:t>Key findings</w:t>
      </w:r>
    </w:p>
    <w:p w:rsidR="003A11B2" w:rsidRPr="00A66F1E" w:rsidRDefault="006878B2" w:rsidP="003F4E5B">
      <w:pPr>
        <w:spacing w:line="360" w:lineRule="auto"/>
        <w:jc w:val="both"/>
        <w:rPr>
          <w:lang w:val="en-GB"/>
        </w:rPr>
      </w:pPr>
      <w:r w:rsidRPr="00A66F1E">
        <w:rPr>
          <w:lang w:val="en-GB"/>
        </w:rPr>
        <w:t>The following key findings</w:t>
      </w:r>
      <w:r w:rsidR="00D64907" w:rsidRPr="00A66F1E">
        <w:rPr>
          <w:lang w:val="en-GB"/>
        </w:rPr>
        <w:t xml:space="preserve"> can be drawn from the data review:</w:t>
      </w:r>
    </w:p>
    <w:p w:rsidR="003A11B2" w:rsidRPr="00A66F1E" w:rsidRDefault="003A11B2" w:rsidP="003F4E5B">
      <w:pPr>
        <w:numPr>
          <w:ilvl w:val="0"/>
          <w:numId w:val="12"/>
        </w:numPr>
        <w:spacing w:after="0" w:line="360" w:lineRule="auto"/>
        <w:ind w:left="567" w:hanging="481"/>
        <w:jc w:val="both"/>
        <w:rPr>
          <w:lang w:val="en-GB"/>
        </w:rPr>
      </w:pPr>
      <w:r w:rsidRPr="00A66F1E">
        <w:rPr>
          <w:lang w:val="en-GB" w:eastAsia="ru-RU"/>
        </w:rPr>
        <w:t xml:space="preserve">The </w:t>
      </w:r>
      <w:r w:rsidR="00CB3A89">
        <w:rPr>
          <w:lang w:val="en-GB" w:eastAsia="ru-RU"/>
        </w:rPr>
        <w:t xml:space="preserve">leaders of the </w:t>
      </w:r>
      <w:r w:rsidRPr="00A66F1E">
        <w:rPr>
          <w:lang w:val="en-GB" w:eastAsia="ru-RU"/>
        </w:rPr>
        <w:t xml:space="preserve">Central Asian </w:t>
      </w:r>
      <w:r w:rsidR="00CB3A89">
        <w:rPr>
          <w:lang w:val="en-GB" w:eastAsia="ru-RU"/>
        </w:rPr>
        <w:t>countries</w:t>
      </w:r>
      <w:r w:rsidRPr="00A66F1E">
        <w:rPr>
          <w:lang w:val="en-GB" w:eastAsia="ru-RU"/>
        </w:rPr>
        <w:t xml:space="preserve"> adopted diverse economic strategies which led to divergence in their trade policies</w:t>
      </w:r>
      <w:r w:rsidR="00CB3A89">
        <w:rPr>
          <w:lang w:val="en-GB" w:eastAsia="ru-RU"/>
        </w:rPr>
        <w:t>,</w:t>
      </w:r>
      <w:r w:rsidRPr="00A66F1E">
        <w:rPr>
          <w:lang w:val="en-GB" w:eastAsia="ru-RU"/>
        </w:rPr>
        <w:t xml:space="preserve"> </w:t>
      </w:r>
      <w:r w:rsidRPr="00A66F1E">
        <w:rPr>
          <w:lang w:val="en-GB"/>
        </w:rPr>
        <w:t xml:space="preserve">ranging from quite liberal (Kyrgyzstan) to relatively restrictive (Uzbekistan). This </w:t>
      </w:r>
      <w:r w:rsidR="006878B2" w:rsidRPr="00A66F1E">
        <w:rPr>
          <w:lang w:val="en-GB"/>
        </w:rPr>
        <w:t>can be seen as one</w:t>
      </w:r>
      <w:r w:rsidR="006878B2" w:rsidRPr="00A66F1E">
        <w:rPr>
          <w:lang w:val="en-GB" w:eastAsia="ru-RU"/>
        </w:rPr>
        <w:t xml:space="preserve"> obstacle to</w:t>
      </w:r>
      <w:r w:rsidRPr="00A66F1E">
        <w:rPr>
          <w:lang w:val="en-GB" w:eastAsia="ru-RU"/>
        </w:rPr>
        <w:t xml:space="preserve"> harmonization of regional </w:t>
      </w:r>
      <w:r w:rsidR="006878B2" w:rsidRPr="00A66F1E">
        <w:rPr>
          <w:lang w:val="en-GB" w:eastAsia="ru-RU"/>
        </w:rPr>
        <w:t>trade and cooperation</w:t>
      </w:r>
      <w:r w:rsidR="00D64907" w:rsidRPr="00A66F1E">
        <w:rPr>
          <w:lang w:val="en-GB" w:eastAsia="ru-RU"/>
        </w:rPr>
        <w:t>.</w:t>
      </w:r>
    </w:p>
    <w:p w:rsidR="00D64907" w:rsidRPr="00A66F1E" w:rsidRDefault="00D64907" w:rsidP="003F4E5B">
      <w:pPr>
        <w:numPr>
          <w:ilvl w:val="0"/>
          <w:numId w:val="12"/>
        </w:numPr>
        <w:spacing w:after="0" w:line="360" w:lineRule="auto"/>
        <w:ind w:left="567" w:hanging="481"/>
        <w:jc w:val="both"/>
        <w:rPr>
          <w:lang w:val="en-GB"/>
        </w:rPr>
      </w:pPr>
      <w:r w:rsidRPr="00A66F1E">
        <w:rPr>
          <w:lang w:val="en-GB"/>
        </w:rPr>
        <w:t xml:space="preserve">All five Central Asian states have natural resources as their </w:t>
      </w:r>
      <w:r w:rsidR="00CB3A89">
        <w:rPr>
          <w:lang w:val="en-GB"/>
        </w:rPr>
        <w:t>main</w:t>
      </w:r>
      <w:r w:rsidRPr="00A66F1E">
        <w:rPr>
          <w:lang w:val="en-GB"/>
        </w:rPr>
        <w:t xml:space="preserve"> export items</w:t>
      </w:r>
      <w:r w:rsidR="00CB3A89">
        <w:rPr>
          <w:lang w:val="en-GB"/>
        </w:rPr>
        <w:t>,</w:t>
      </w:r>
      <w:r w:rsidRPr="00A66F1E">
        <w:rPr>
          <w:lang w:val="en-GB"/>
        </w:rPr>
        <w:t xml:space="preserve"> and </w:t>
      </w:r>
      <w:r w:rsidR="00CB3A89">
        <w:rPr>
          <w:lang w:val="en-GB"/>
        </w:rPr>
        <w:t>are</w:t>
      </w:r>
      <w:r w:rsidRPr="00A66F1E">
        <w:rPr>
          <w:lang w:val="en-GB"/>
        </w:rPr>
        <w:t xml:space="preserve"> large</w:t>
      </w:r>
      <w:r w:rsidR="00CB3A89">
        <w:rPr>
          <w:lang w:val="en-GB"/>
        </w:rPr>
        <w:t>ly dependent</w:t>
      </w:r>
      <w:r w:rsidRPr="00A66F1E">
        <w:rPr>
          <w:lang w:val="en-GB"/>
        </w:rPr>
        <w:t xml:space="preserve"> on these exports. In 2011, the </w:t>
      </w:r>
      <w:r w:rsidR="00CB3A89">
        <w:rPr>
          <w:lang w:val="en-GB"/>
        </w:rPr>
        <w:t>most important</w:t>
      </w:r>
      <w:r w:rsidRPr="00A66F1E">
        <w:rPr>
          <w:lang w:val="en-GB"/>
        </w:rPr>
        <w:t xml:space="preserve"> export</w:t>
      </w:r>
      <w:r w:rsidR="00CB3A89">
        <w:rPr>
          <w:lang w:val="en-GB"/>
        </w:rPr>
        <w:t xml:space="preserve"> commodity</w:t>
      </w:r>
      <w:r w:rsidRPr="00A66F1E">
        <w:rPr>
          <w:lang w:val="en-GB"/>
        </w:rPr>
        <w:t xml:space="preserve"> in Kazakhstan (crude oil and gas condensate) and Tajikistan (aluminium) accounted for respectively 62.4% and 63.4% of total exports.</w:t>
      </w:r>
    </w:p>
    <w:p w:rsidR="00E332CF" w:rsidRPr="00A66F1E" w:rsidRDefault="006B3DB8" w:rsidP="003F4E5B">
      <w:pPr>
        <w:numPr>
          <w:ilvl w:val="0"/>
          <w:numId w:val="12"/>
        </w:numPr>
        <w:spacing w:after="0" w:line="360" w:lineRule="auto"/>
        <w:ind w:left="567" w:hanging="481"/>
        <w:jc w:val="both"/>
        <w:rPr>
          <w:lang w:val="en-GB"/>
        </w:rPr>
      </w:pPr>
      <w:r w:rsidRPr="00A66F1E">
        <w:rPr>
          <w:color w:val="231F20"/>
          <w:lang w:val="en-GB" w:eastAsia="ru-RU"/>
        </w:rPr>
        <w:t>The Central Asian states have a low degree of trade complementarity</w:t>
      </w:r>
      <w:r w:rsidR="00CB3A89">
        <w:rPr>
          <w:color w:val="231F20"/>
          <w:lang w:val="en-GB" w:eastAsia="ru-RU"/>
        </w:rPr>
        <w:t>:</w:t>
      </w:r>
      <w:r w:rsidRPr="00A66F1E">
        <w:rPr>
          <w:color w:val="231F20"/>
          <w:lang w:val="en-GB" w:eastAsia="ru-RU"/>
        </w:rPr>
        <w:t xml:space="preserve"> they produce and export many of the same items and therefore need to look for trade partners </w:t>
      </w:r>
      <w:r w:rsidR="00CB3A89">
        <w:rPr>
          <w:color w:val="231F20"/>
          <w:lang w:val="en-GB" w:eastAsia="ru-RU"/>
        </w:rPr>
        <w:t>beyond their immediate</w:t>
      </w:r>
      <w:r w:rsidRPr="00A66F1E">
        <w:rPr>
          <w:color w:val="231F20"/>
          <w:lang w:val="en-GB" w:eastAsia="ru-RU"/>
        </w:rPr>
        <w:t xml:space="preserve"> neighbours. </w:t>
      </w:r>
      <w:r w:rsidR="00E332CF" w:rsidRPr="00A66F1E">
        <w:rPr>
          <w:b/>
          <w:lang w:val="en-GB"/>
        </w:rPr>
        <w:br w:type="page"/>
      </w:r>
    </w:p>
    <w:p w:rsidR="00E332CF" w:rsidRPr="00A66F1E" w:rsidRDefault="00E332CF" w:rsidP="00A66F1E">
      <w:pPr>
        <w:pBdr>
          <w:bottom w:val="single" w:sz="4" w:space="1" w:color="auto"/>
        </w:pBdr>
        <w:spacing w:line="360" w:lineRule="auto"/>
        <w:rPr>
          <w:b/>
          <w:sz w:val="28"/>
          <w:lang w:val="en-GB" w:eastAsia="ru-RU"/>
        </w:rPr>
      </w:pPr>
      <w:r w:rsidRPr="00A66F1E">
        <w:rPr>
          <w:b/>
          <w:sz w:val="28"/>
          <w:lang w:val="en-GB" w:eastAsia="ru-RU"/>
        </w:rPr>
        <w:lastRenderedPageBreak/>
        <w:t>Brief Outline of Central Asian States’ Trade Policy</w:t>
      </w:r>
    </w:p>
    <w:p w:rsidR="00E332CF" w:rsidRPr="00A66F1E" w:rsidRDefault="00E332CF" w:rsidP="00A66F1E">
      <w:pPr>
        <w:pStyle w:val="Default"/>
        <w:spacing w:line="360" w:lineRule="auto"/>
        <w:rPr>
          <w:rFonts w:ascii="Arial" w:hAnsi="Arial" w:cs="Arial"/>
          <w:b/>
          <w:sz w:val="22"/>
          <w:szCs w:val="22"/>
          <w:lang w:val="en-GB"/>
        </w:rPr>
      </w:pPr>
    </w:p>
    <w:p w:rsidR="00E332CF" w:rsidRPr="00A66F1E" w:rsidRDefault="00E332CF" w:rsidP="00A66F1E">
      <w:pPr>
        <w:pStyle w:val="Default"/>
        <w:spacing w:line="360" w:lineRule="auto"/>
        <w:rPr>
          <w:rFonts w:ascii="Arial" w:hAnsi="Arial" w:cs="Arial"/>
          <w:b/>
          <w:sz w:val="22"/>
          <w:szCs w:val="22"/>
          <w:lang w:val="en-GB"/>
        </w:rPr>
      </w:pPr>
      <w:r w:rsidRPr="00A66F1E">
        <w:rPr>
          <w:rFonts w:ascii="Arial" w:hAnsi="Arial" w:cs="Arial"/>
          <w:b/>
          <w:sz w:val="22"/>
          <w:szCs w:val="22"/>
          <w:lang w:val="en-GB"/>
        </w:rPr>
        <w:t>Kazakhstan</w:t>
      </w:r>
    </w:p>
    <w:p w:rsidR="00E332CF" w:rsidRPr="00A66F1E" w:rsidRDefault="00E332CF" w:rsidP="003F4E5B">
      <w:pPr>
        <w:pStyle w:val="Default"/>
        <w:spacing w:line="360" w:lineRule="auto"/>
        <w:jc w:val="both"/>
        <w:rPr>
          <w:rFonts w:ascii="Arial" w:hAnsi="Arial" w:cs="Arial"/>
          <w:sz w:val="22"/>
          <w:szCs w:val="22"/>
          <w:lang w:val="en-GB"/>
        </w:rPr>
      </w:pPr>
      <w:r w:rsidRPr="00A66F1E">
        <w:rPr>
          <w:rFonts w:ascii="Arial" w:hAnsi="Arial" w:cs="Arial"/>
          <w:sz w:val="22"/>
          <w:szCs w:val="22"/>
          <w:lang w:val="en-GB"/>
        </w:rPr>
        <w:t>In general, the customs and tariff policy of Kazakhstan is liberal. The highest customs duties are set on finished products</w:t>
      </w:r>
      <w:r w:rsidR="00CB3A89">
        <w:rPr>
          <w:rFonts w:ascii="Arial" w:hAnsi="Arial" w:cs="Arial"/>
          <w:sz w:val="22"/>
          <w:szCs w:val="22"/>
          <w:lang w:val="en-GB"/>
        </w:rPr>
        <w:t>;</w:t>
      </w:r>
      <w:r w:rsidRPr="00A66F1E">
        <w:rPr>
          <w:rFonts w:ascii="Arial" w:hAnsi="Arial" w:cs="Arial"/>
          <w:sz w:val="22"/>
          <w:szCs w:val="22"/>
          <w:lang w:val="en-GB"/>
        </w:rPr>
        <w:t xml:space="preserve"> average customs duties </w:t>
      </w:r>
      <w:r w:rsidR="00CB3A89">
        <w:rPr>
          <w:rFonts w:ascii="Arial" w:hAnsi="Arial" w:cs="Arial"/>
          <w:sz w:val="22"/>
          <w:szCs w:val="22"/>
          <w:lang w:val="en-GB"/>
        </w:rPr>
        <w:t>apply to</w:t>
      </w:r>
      <w:r w:rsidRPr="00A66F1E">
        <w:rPr>
          <w:rFonts w:ascii="Arial" w:hAnsi="Arial" w:cs="Arial"/>
          <w:sz w:val="22"/>
          <w:szCs w:val="22"/>
          <w:lang w:val="en-GB"/>
        </w:rPr>
        <w:t xml:space="preserve"> components production</w:t>
      </w:r>
      <w:r w:rsidR="00CB3A89">
        <w:rPr>
          <w:rFonts w:ascii="Arial" w:hAnsi="Arial" w:cs="Arial"/>
          <w:sz w:val="22"/>
          <w:szCs w:val="22"/>
          <w:lang w:val="en-GB"/>
        </w:rPr>
        <w:t>,</w:t>
      </w:r>
      <w:r w:rsidRPr="00A66F1E">
        <w:rPr>
          <w:rFonts w:ascii="Arial" w:hAnsi="Arial" w:cs="Arial"/>
          <w:sz w:val="22"/>
          <w:szCs w:val="22"/>
          <w:lang w:val="en-GB"/>
        </w:rPr>
        <w:t xml:space="preserve"> and minimal customs duties are set on raw materials and goods of importance for food security</w:t>
      </w:r>
      <w:r w:rsidR="00CB3A89">
        <w:rPr>
          <w:rFonts w:ascii="Arial" w:hAnsi="Arial" w:cs="Arial"/>
          <w:sz w:val="22"/>
          <w:szCs w:val="22"/>
          <w:lang w:val="en-GB"/>
        </w:rPr>
        <w:t xml:space="preserve"> but</w:t>
      </w:r>
      <w:r w:rsidRPr="00A66F1E">
        <w:rPr>
          <w:rFonts w:ascii="Arial" w:hAnsi="Arial" w:cs="Arial"/>
          <w:sz w:val="22"/>
          <w:szCs w:val="22"/>
          <w:lang w:val="en-GB"/>
        </w:rPr>
        <w:t xml:space="preserve"> not produced in Kazakhstan. Changes in tariff policy are based on international market indicators and the commitments within the Customs Union</w:t>
      </w:r>
      <w:r w:rsidR="00BD10FD" w:rsidRPr="00A66F1E">
        <w:rPr>
          <w:rFonts w:ascii="Arial" w:hAnsi="Arial" w:cs="Arial"/>
          <w:sz w:val="22"/>
          <w:szCs w:val="22"/>
          <w:lang w:val="en-GB"/>
        </w:rPr>
        <w:t xml:space="preserve"> (CU)</w:t>
      </w:r>
      <w:r w:rsidRPr="00A66F1E">
        <w:rPr>
          <w:rFonts w:ascii="Arial" w:hAnsi="Arial" w:cs="Arial"/>
          <w:sz w:val="22"/>
          <w:szCs w:val="22"/>
          <w:lang w:val="en-GB"/>
        </w:rPr>
        <w:t>.</w:t>
      </w:r>
      <w:r w:rsidRPr="00A66F1E">
        <w:rPr>
          <w:rStyle w:val="FootnoteReference"/>
          <w:rFonts w:ascii="Arial" w:hAnsi="Arial" w:cs="Arial"/>
          <w:sz w:val="22"/>
          <w:szCs w:val="22"/>
          <w:lang w:val="en-GB"/>
        </w:rPr>
        <w:footnoteReference w:id="1"/>
      </w:r>
      <w:r w:rsidRPr="00A66F1E">
        <w:rPr>
          <w:rFonts w:ascii="Arial" w:hAnsi="Arial" w:cs="Arial"/>
          <w:sz w:val="22"/>
          <w:szCs w:val="22"/>
          <w:lang w:val="en-GB"/>
        </w:rPr>
        <w:t xml:space="preserve"> On average, the level of current import duties is 10.6%. Goods imported from members of the Commonwealth of Independent States (CIS) are not subject to customs duties. Moreover, customs duties are not applied to goods produced in the </w:t>
      </w:r>
      <w:r w:rsidR="00CB3A89">
        <w:rPr>
          <w:rFonts w:ascii="Arial" w:hAnsi="Arial" w:cs="Arial"/>
          <w:sz w:val="22"/>
          <w:szCs w:val="22"/>
          <w:lang w:val="en-GB"/>
        </w:rPr>
        <w:t>L</w:t>
      </w:r>
      <w:r w:rsidRPr="00A66F1E">
        <w:rPr>
          <w:rFonts w:ascii="Arial" w:hAnsi="Arial" w:cs="Arial"/>
          <w:sz w:val="22"/>
          <w:szCs w:val="22"/>
          <w:lang w:val="en-GB"/>
        </w:rPr>
        <w:t xml:space="preserve">east </w:t>
      </w:r>
      <w:r w:rsidR="00CB3A89">
        <w:rPr>
          <w:rFonts w:ascii="Arial" w:hAnsi="Arial" w:cs="Arial"/>
          <w:sz w:val="22"/>
          <w:szCs w:val="22"/>
          <w:lang w:val="en-GB"/>
        </w:rPr>
        <w:t>D</w:t>
      </w:r>
      <w:r w:rsidRPr="00A66F1E">
        <w:rPr>
          <w:rFonts w:ascii="Arial" w:hAnsi="Arial" w:cs="Arial"/>
          <w:sz w:val="22"/>
          <w:szCs w:val="22"/>
          <w:lang w:val="en-GB"/>
        </w:rPr>
        <w:t xml:space="preserve">eveloped </w:t>
      </w:r>
      <w:r w:rsidR="00CB3A89">
        <w:rPr>
          <w:rFonts w:ascii="Arial" w:hAnsi="Arial" w:cs="Arial"/>
          <w:sz w:val="22"/>
          <w:szCs w:val="22"/>
          <w:lang w:val="en-GB"/>
        </w:rPr>
        <w:t>C</w:t>
      </w:r>
      <w:r w:rsidRPr="00A66F1E">
        <w:rPr>
          <w:rFonts w:ascii="Arial" w:hAnsi="Arial" w:cs="Arial"/>
          <w:sz w:val="22"/>
          <w:szCs w:val="22"/>
          <w:lang w:val="en-GB"/>
        </w:rPr>
        <w:t xml:space="preserve">ountries (47 states), which enjoy the national system of trade preferences. At </w:t>
      </w:r>
      <w:r w:rsidR="00CB3A89">
        <w:rPr>
          <w:rFonts w:ascii="Arial" w:hAnsi="Arial" w:cs="Arial"/>
          <w:sz w:val="22"/>
          <w:szCs w:val="22"/>
          <w:lang w:val="en-GB"/>
        </w:rPr>
        <w:t xml:space="preserve">present, </w:t>
      </w:r>
      <w:r w:rsidRPr="00A66F1E">
        <w:rPr>
          <w:rFonts w:ascii="Arial" w:hAnsi="Arial" w:cs="Arial"/>
          <w:sz w:val="22"/>
          <w:szCs w:val="22"/>
          <w:lang w:val="en-GB"/>
        </w:rPr>
        <w:t xml:space="preserve">the preferential trade regime is open to 104 least developed and developing countries. This regime </w:t>
      </w:r>
      <w:r w:rsidR="00CB3A89">
        <w:rPr>
          <w:rFonts w:ascii="Arial" w:hAnsi="Arial" w:cs="Arial"/>
          <w:sz w:val="22"/>
          <w:szCs w:val="22"/>
          <w:lang w:val="en-GB"/>
        </w:rPr>
        <w:t>entails</w:t>
      </w:r>
      <w:r w:rsidRPr="00A66F1E">
        <w:rPr>
          <w:rFonts w:ascii="Arial" w:hAnsi="Arial" w:cs="Arial"/>
          <w:sz w:val="22"/>
          <w:szCs w:val="22"/>
          <w:lang w:val="en-GB"/>
        </w:rPr>
        <w:t xml:space="preserve"> reduction</w:t>
      </w:r>
      <w:r w:rsidR="00CB3A89">
        <w:rPr>
          <w:rFonts w:ascii="Arial" w:hAnsi="Arial" w:cs="Arial"/>
          <w:sz w:val="22"/>
          <w:szCs w:val="22"/>
          <w:lang w:val="en-GB"/>
        </w:rPr>
        <w:t>s</w:t>
      </w:r>
      <w:r w:rsidRPr="00A66F1E">
        <w:rPr>
          <w:rFonts w:ascii="Arial" w:hAnsi="Arial" w:cs="Arial"/>
          <w:sz w:val="22"/>
          <w:szCs w:val="22"/>
          <w:lang w:val="en-GB"/>
        </w:rPr>
        <w:t xml:space="preserve"> of import duties (up to 75%). In addition, in </w:t>
      </w:r>
      <w:r w:rsidR="00CB3A89">
        <w:rPr>
          <w:rFonts w:ascii="Arial" w:hAnsi="Arial" w:cs="Arial"/>
          <w:sz w:val="22"/>
          <w:szCs w:val="22"/>
          <w:lang w:val="en-GB"/>
        </w:rPr>
        <w:t>order</w:t>
      </w:r>
      <w:r w:rsidRPr="00A66F1E">
        <w:rPr>
          <w:rFonts w:ascii="Arial" w:hAnsi="Arial" w:cs="Arial"/>
          <w:sz w:val="22"/>
          <w:szCs w:val="22"/>
          <w:lang w:val="en-GB"/>
        </w:rPr>
        <w:t xml:space="preserve"> to stimulate export, export duties</w:t>
      </w:r>
      <w:r w:rsidR="00675FDC" w:rsidRPr="00A66F1E">
        <w:rPr>
          <w:rFonts w:ascii="Arial" w:hAnsi="Arial" w:cs="Arial"/>
          <w:sz w:val="22"/>
          <w:szCs w:val="22"/>
          <w:lang w:val="en-GB"/>
        </w:rPr>
        <w:t xml:space="preserve"> </w:t>
      </w:r>
      <w:r w:rsidRPr="00A66F1E">
        <w:rPr>
          <w:rFonts w:ascii="Arial" w:hAnsi="Arial" w:cs="Arial"/>
          <w:sz w:val="22"/>
          <w:szCs w:val="22"/>
          <w:lang w:val="en-GB"/>
        </w:rPr>
        <w:t xml:space="preserve">are </w:t>
      </w:r>
      <w:r w:rsidR="00CB3A89">
        <w:rPr>
          <w:rFonts w:ascii="Arial" w:hAnsi="Arial" w:cs="Arial"/>
          <w:sz w:val="22"/>
          <w:szCs w:val="22"/>
          <w:lang w:val="en-GB"/>
        </w:rPr>
        <w:t>generally</w:t>
      </w:r>
      <w:r w:rsidR="00675FDC" w:rsidRPr="00A66F1E">
        <w:rPr>
          <w:rFonts w:ascii="Arial" w:hAnsi="Arial" w:cs="Arial"/>
          <w:sz w:val="22"/>
          <w:szCs w:val="22"/>
          <w:lang w:val="en-GB"/>
        </w:rPr>
        <w:t xml:space="preserve"> </w:t>
      </w:r>
      <w:r w:rsidRPr="00A66F1E">
        <w:rPr>
          <w:rFonts w:ascii="Arial" w:hAnsi="Arial" w:cs="Arial"/>
          <w:sz w:val="22"/>
          <w:szCs w:val="22"/>
          <w:lang w:val="en-GB"/>
        </w:rPr>
        <w:t>not applied to domestic producers. There is</w:t>
      </w:r>
      <w:r w:rsidR="00CB3A89">
        <w:rPr>
          <w:rFonts w:ascii="Arial" w:hAnsi="Arial" w:cs="Arial"/>
          <w:sz w:val="22"/>
          <w:szCs w:val="22"/>
          <w:lang w:val="en-GB"/>
        </w:rPr>
        <w:t>,</w:t>
      </w:r>
      <w:r w:rsidRPr="00A66F1E">
        <w:rPr>
          <w:rFonts w:ascii="Arial" w:hAnsi="Arial" w:cs="Arial"/>
          <w:sz w:val="22"/>
          <w:szCs w:val="22"/>
          <w:lang w:val="en-GB"/>
        </w:rPr>
        <w:t xml:space="preserve"> however</w:t>
      </w:r>
      <w:r w:rsidR="00CB3A89">
        <w:rPr>
          <w:rFonts w:ascii="Arial" w:hAnsi="Arial" w:cs="Arial"/>
          <w:sz w:val="22"/>
          <w:szCs w:val="22"/>
          <w:lang w:val="en-GB"/>
        </w:rPr>
        <w:t>,</w:t>
      </w:r>
      <w:r w:rsidRPr="00A66F1E">
        <w:rPr>
          <w:rFonts w:ascii="Arial" w:hAnsi="Arial" w:cs="Arial"/>
          <w:sz w:val="22"/>
          <w:szCs w:val="22"/>
          <w:lang w:val="en-GB"/>
        </w:rPr>
        <w:t xml:space="preserve"> a list of items for which export duties are applied: </w:t>
      </w:r>
      <w:r w:rsidR="003F4E5B">
        <w:rPr>
          <w:rFonts w:ascii="Arial" w:hAnsi="Arial" w:cs="Arial"/>
          <w:sz w:val="22"/>
          <w:szCs w:val="22"/>
          <w:lang w:val="en-GB"/>
        </w:rPr>
        <w:t>animal pelts</w:t>
      </w:r>
      <w:r w:rsidRPr="00A66F1E">
        <w:rPr>
          <w:rFonts w:ascii="Arial" w:hAnsi="Arial" w:cs="Arial"/>
          <w:sz w:val="22"/>
          <w:szCs w:val="22"/>
          <w:lang w:val="en-GB"/>
        </w:rPr>
        <w:t>, hair, non-ferrous and black metals and certain types of oil products.</w:t>
      </w:r>
      <w:r w:rsidRPr="00A66F1E">
        <w:rPr>
          <w:rStyle w:val="FootnoteReference"/>
          <w:rFonts w:ascii="Arial" w:hAnsi="Arial" w:cs="Arial"/>
          <w:sz w:val="22"/>
          <w:szCs w:val="22"/>
          <w:lang w:val="en-GB"/>
        </w:rPr>
        <w:footnoteReference w:id="2"/>
      </w:r>
      <w:r w:rsidR="00A30C8C" w:rsidRPr="00A66F1E">
        <w:rPr>
          <w:rFonts w:ascii="Arial" w:hAnsi="Arial" w:cs="Arial"/>
          <w:sz w:val="22"/>
          <w:szCs w:val="22"/>
          <w:lang w:val="en-GB"/>
        </w:rPr>
        <w:t xml:space="preserve"> </w:t>
      </w:r>
      <w:r w:rsidRPr="00A66F1E">
        <w:rPr>
          <w:rFonts w:ascii="Arial" w:hAnsi="Arial" w:cs="Arial"/>
          <w:sz w:val="22"/>
          <w:szCs w:val="22"/>
          <w:lang w:val="en-GB"/>
        </w:rPr>
        <w:t>Non-tariff instruments include anti</w:t>
      </w:r>
      <w:r w:rsidR="00CB3A89">
        <w:rPr>
          <w:rFonts w:ascii="Arial" w:hAnsi="Arial" w:cs="Arial"/>
          <w:sz w:val="22"/>
          <w:szCs w:val="22"/>
          <w:lang w:val="en-GB"/>
        </w:rPr>
        <w:t>-</w:t>
      </w:r>
      <w:r w:rsidRPr="00A66F1E">
        <w:rPr>
          <w:rFonts w:ascii="Arial" w:hAnsi="Arial" w:cs="Arial"/>
          <w:sz w:val="22"/>
          <w:szCs w:val="22"/>
          <w:lang w:val="en-GB"/>
        </w:rPr>
        <w:t>dumping measures, compensation measures, protection measures, bans or limits</w:t>
      </w:r>
      <w:r w:rsidR="00CB3A89">
        <w:rPr>
          <w:rFonts w:ascii="Arial" w:hAnsi="Arial" w:cs="Arial"/>
          <w:sz w:val="22"/>
          <w:szCs w:val="22"/>
          <w:lang w:val="en-GB"/>
        </w:rPr>
        <w:t xml:space="preserve"> (</w:t>
      </w:r>
      <w:r w:rsidRPr="00A66F1E">
        <w:rPr>
          <w:rFonts w:ascii="Arial" w:hAnsi="Arial" w:cs="Arial"/>
          <w:sz w:val="22"/>
          <w:szCs w:val="22"/>
          <w:lang w:val="en-GB"/>
        </w:rPr>
        <w:t>including quantitative ones</w:t>
      </w:r>
      <w:r w:rsidR="00CB3A89">
        <w:rPr>
          <w:rFonts w:ascii="Arial" w:hAnsi="Arial" w:cs="Arial"/>
          <w:sz w:val="22"/>
          <w:szCs w:val="22"/>
          <w:lang w:val="en-GB"/>
        </w:rPr>
        <w:t>)</w:t>
      </w:r>
      <w:r w:rsidRPr="00A66F1E">
        <w:rPr>
          <w:rFonts w:ascii="Arial" w:hAnsi="Arial" w:cs="Arial"/>
          <w:sz w:val="22"/>
          <w:szCs w:val="22"/>
          <w:lang w:val="en-GB"/>
        </w:rPr>
        <w:t>, quota system</w:t>
      </w:r>
      <w:r w:rsidR="00CB3A89">
        <w:rPr>
          <w:rFonts w:ascii="Arial" w:hAnsi="Arial" w:cs="Arial"/>
          <w:sz w:val="22"/>
          <w:szCs w:val="22"/>
          <w:lang w:val="en-GB"/>
        </w:rPr>
        <w:t>s</w:t>
      </w:r>
      <w:r w:rsidRPr="00A66F1E">
        <w:rPr>
          <w:rFonts w:ascii="Arial" w:hAnsi="Arial" w:cs="Arial"/>
          <w:sz w:val="22"/>
          <w:szCs w:val="22"/>
          <w:lang w:val="en-GB"/>
        </w:rPr>
        <w:t>, state</w:t>
      </w:r>
      <w:r w:rsidR="008C15A7" w:rsidRPr="00A66F1E">
        <w:rPr>
          <w:rFonts w:ascii="Arial" w:hAnsi="Arial" w:cs="Arial"/>
          <w:sz w:val="22"/>
          <w:szCs w:val="22"/>
          <w:lang w:val="en-GB"/>
        </w:rPr>
        <w:t xml:space="preserve"> </w:t>
      </w:r>
      <w:r w:rsidRPr="00A66F1E">
        <w:rPr>
          <w:rFonts w:ascii="Arial" w:hAnsi="Arial" w:cs="Arial"/>
          <w:sz w:val="22"/>
          <w:szCs w:val="22"/>
          <w:lang w:val="en-GB"/>
        </w:rPr>
        <w:t>monopoly on export and/or import of goods, licensing, and technical regulation.</w:t>
      </w:r>
      <w:r w:rsidRPr="00A66F1E">
        <w:rPr>
          <w:rStyle w:val="FootnoteReference"/>
          <w:rFonts w:ascii="Arial" w:hAnsi="Arial" w:cs="Garamond"/>
          <w:sz w:val="22"/>
          <w:szCs w:val="22"/>
          <w:lang w:val="en-GB"/>
        </w:rPr>
        <w:footnoteReference w:id="3"/>
      </w:r>
    </w:p>
    <w:p w:rsidR="00E332CF" w:rsidRPr="00A66F1E" w:rsidRDefault="00E332CF" w:rsidP="003F4E5B">
      <w:pPr>
        <w:pStyle w:val="Default"/>
        <w:spacing w:line="360" w:lineRule="auto"/>
        <w:jc w:val="both"/>
        <w:rPr>
          <w:rFonts w:ascii="Arial" w:hAnsi="Arial" w:cs="Arial"/>
          <w:b/>
          <w:sz w:val="22"/>
          <w:szCs w:val="22"/>
          <w:lang w:val="en-GB"/>
        </w:rPr>
      </w:pPr>
    </w:p>
    <w:p w:rsidR="0020081B" w:rsidRPr="00A66F1E" w:rsidRDefault="00E332CF" w:rsidP="003F4E5B">
      <w:pPr>
        <w:pStyle w:val="Default"/>
        <w:spacing w:line="360" w:lineRule="auto"/>
        <w:jc w:val="both"/>
        <w:rPr>
          <w:rFonts w:ascii="Arial" w:hAnsi="Arial" w:cs="Arial"/>
          <w:b/>
          <w:sz w:val="22"/>
          <w:szCs w:val="22"/>
          <w:lang w:val="en-GB"/>
        </w:rPr>
      </w:pPr>
      <w:r w:rsidRPr="00A66F1E">
        <w:rPr>
          <w:rFonts w:ascii="Arial" w:hAnsi="Arial" w:cs="Arial"/>
          <w:b/>
          <w:sz w:val="22"/>
          <w:szCs w:val="22"/>
          <w:lang w:val="en-GB"/>
        </w:rPr>
        <w:t>Kyrgyzstan</w:t>
      </w:r>
    </w:p>
    <w:p w:rsidR="00E332CF" w:rsidRPr="00A66F1E" w:rsidRDefault="00E332CF" w:rsidP="003F4E5B">
      <w:pPr>
        <w:pStyle w:val="Default"/>
        <w:spacing w:line="360" w:lineRule="auto"/>
        <w:jc w:val="both"/>
        <w:rPr>
          <w:rFonts w:ascii="Arial" w:hAnsi="Arial" w:cs="Arial"/>
          <w:sz w:val="22"/>
          <w:szCs w:val="22"/>
          <w:lang w:val="en-GB"/>
        </w:rPr>
      </w:pPr>
      <w:r w:rsidRPr="00A66F1E">
        <w:rPr>
          <w:rFonts w:ascii="Arial" w:hAnsi="Arial" w:cs="Arial"/>
          <w:sz w:val="22"/>
          <w:szCs w:val="22"/>
          <w:lang w:val="en-GB"/>
        </w:rPr>
        <w:t>Kyrgyzstan’s trade policy can be described as the most liberal in the region. Kyrgyzstan was the first Central Asian state to g</w:t>
      </w:r>
      <w:r w:rsidR="0070084C">
        <w:rPr>
          <w:rFonts w:ascii="Arial" w:hAnsi="Arial" w:cs="Arial"/>
          <w:sz w:val="22"/>
          <w:szCs w:val="22"/>
          <w:lang w:val="en-GB"/>
        </w:rPr>
        <w:t>ain membership in</w:t>
      </w:r>
      <w:r w:rsidRPr="00A66F1E">
        <w:rPr>
          <w:rFonts w:ascii="Arial" w:hAnsi="Arial" w:cs="Arial"/>
          <w:sz w:val="22"/>
          <w:szCs w:val="22"/>
          <w:lang w:val="en-GB"/>
        </w:rPr>
        <w:t xml:space="preserve"> the World Trade Organization (WTO)</w:t>
      </w:r>
      <w:r w:rsidR="0070084C">
        <w:rPr>
          <w:rFonts w:ascii="Arial" w:hAnsi="Arial" w:cs="Arial"/>
          <w:sz w:val="22"/>
          <w:szCs w:val="22"/>
          <w:lang w:val="en-GB"/>
        </w:rPr>
        <w:t>,</w:t>
      </w:r>
      <w:r w:rsidRPr="00A66F1E">
        <w:rPr>
          <w:rFonts w:ascii="Arial" w:hAnsi="Arial" w:cs="Arial"/>
          <w:sz w:val="22"/>
          <w:szCs w:val="22"/>
          <w:lang w:val="en-GB"/>
        </w:rPr>
        <w:t xml:space="preserve"> in 1998. This has </w:t>
      </w:r>
      <w:r w:rsidR="0070084C">
        <w:rPr>
          <w:rFonts w:ascii="Arial" w:hAnsi="Arial" w:cs="Arial"/>
          <w:sz w:val="22"/>
          <w:szCs w:val="22"/>
          <w:lang w:val="en-GB"/>
        </w:rPr>
        <w:t>been influential in shaping</w:t>
      </w:r>
      <w:r w:rsidRPr="00A66F1E">
        <w:rPr>
          <w:rFonts w:ascii="Arial" w:hAnsi="Arial" w:cs="Arial"/>
          <w:sz w:val="22"/>
          <w:szCs w:val="22"/>
          <w:lang w:val="en-GB"/>
        </w:rPr>
        <w:t xml:space="preserve"> the external trade policies of this small</w:t>
      </w:r>
      <w:r w:rsidR="0070084C">
        <w:rPr>
          <w:rFonts w:ascii="Arial" w:hAnsi="Arial" w:cs="Arial"/>
          <w:sz w:val="22"/>
          <w:szCs w:val="22"/>
          <w:lang w:val="en-GB"/>
        </w:rPr>
        <w:t>,</w:t>
      </w:r>
      <w:r w:rsidRPr="00A66F1E">
        <w:rPr>
          <w:rFonts w:ascii="Arial" w:hAnsi="Arial" w:cs="Arial"/>
          <w:sz w:val="22"/>
          <w:szCs w:val="22"/>
          <w:lang w:val="en-GB"/>
        </w:rPr>
        <w:t xml:space="preserve"> landlocked country. In 1999</w:t>
      </w:r>
      <w:r w:rsidR="0070084C">
        <w:rPr>
          <w:rFonts w:ascii="Arial" w:hAnsi="Arial" w:cs="Arial"/>
          <w:sz w:val="22"/>
          <w:szCs w:val="22"/>
          <w:lang w:val="en-GB"/>
        </w:rPr>
        <w:t>,</w:t>
      </w:r>
      <w:r w:rsidRPr="00A66F1E">
        <w:rPr>
          <w:rFonts w:ascii="Arial" w:hAnsi="Arial" w:cs="Arial"/>
          <w:sz w:val="22"/>
          <w:szCs w:val="22"/>
          <w:lang w:val="en-GB"/>
        </w:rPr>
        <w:t xml:space="preserve"> the 10% customs dut</w:t>
      </w:r>
      <w:r w:rsidR="0070084C">
        <w:rPr>
          <w:rFonts w:ascii="Arial" w:hAnsi="Arial" w:cs="Arial"/>
          <w:sz w:val="22"/>
          <w:szCs w:val="22"/>
          <w:lang w:val="en-GB"/>
        </w:rPr>
        <w:t>y</w:t>
      </w:r>
      <w:r w:rsidRPr="00A66F1E">
        <w:rPr>
          <w:rFonts w:ascii="Arial" w:hAnsi="Arial" w:cs="Arial"/>
          <w:sz w:val="22"/>
          <w:szCs w:val="22"/>
          <w:lang w:val="en-GB"/>
        </w:rPr>
        <w:t xml:space="preserve"> on imported goods w</w:t>
      </w:r>
      <w:r w:rsidR="0070084C">
        <w:rPr>
          <w:rFonts w:ascii="Arial" w:hAnsi="Arial" w:cs="Arial"/>
          <w:sz w:val="22"/>
          <w:szCs w:val="22"/>
          <w:lang w:val="en-GB"/>
        </w:rPr>
        <w:t>as</w:t>
      </w:r>
      <w:r w:rsidRPr="00A66F1E">
        <w:rPr>
          <w:rFonts w:ascii="Arial" w:hAnsi="Arial" w:cs="Arial"/>
          <w:sz w:val="22"/>
          <w:szCs w:val="22"/>
          <w:lang w:val="en-GB"/>
        </w:rPr>
        <w:t xml:space="preserve"> replaced by differentiated tariffs, averaging at</w:t>
      </w:r>
      <w:r w:rsidR="0063663D">
        <w:rPr>
          <w:rFonts w:ascii="Arial" w:hAnsi="Arial" w:cs="Arial"/>
          <w:sz w:val="22"/>
          <w:szCs w:val="22"/>
          <w:lang w:val="en-GB"/>
        </w:rPr>
        <w:t xml:space="preserve"> </w:t>
      </w:r>
      <w:r w:rsidRPr="00A66F1E">
        <w:rPr>
          <w:rFonts w:ascii="Arial" w:hAnsi="Arial" w:cs="Arial"/>
          <w:sz w:val="22"/>
          <w:szCs w:val="22"/>
          <w:lang w:val="en-GB"/>
        </w:rPr>
        <w:t>8</w:t>
      </w:r>
      <w:r w:rsidR="0063663D">
        <w:rPr>
          <w:rFonts w:ascii="Arial" w:hAnsi="Arial" w:cs="Arial"/>
          <w:sz w:val="22"/>
          <w:szCs w:val="22"/>
          <w:lang w:val="en-GB"/>
        </w:rPr>
        <w:t>.</w:t>
      </w:r>
      <w:r w:rsidRPr="00A66F1E">
        <w:rPr>
          <w:rFonts w:ascii="Arial" w:hAnsi="Arial" w:cs="Arial"/>
          <w:sz w:val="22"/>
          <w:szCs w:val="22"/>
          <w:lang w:val="en-GB"/>
        </w:rPr>
        <w:t>5%, according to the government of Kyrgyzstan</w:t>
      </w:r>
      <w:r w:rsidR="0070084C">
        <w:rPr>
          <w:rFonts w:ascii="Arial" w:hAnsi="Arial" w:cs="Arial"/>
          <w:sz w:val="22"/>
          <w:szCs w:val="22"/>
          <w:lang w:val="en-GB"/>
        </w:rPr>
        <w:t>; currently, the a</w:t>
      </w:r>
      <w:r w:rsidRPr="00A66F1E">
        <w:rPr>
          <w:rFonts w:ascii="Arial" w:hAnsi="Arial" w:cs="Arial"/>
          <w:sz w:val="22"/>
          <w:szCs w:val="22"/>
          <w:lang w:val="en-GB"/>
        </w:rPr>
        <w:t>verage tariff for agricultural goods is 8.1% and for industrial goods 4</w:t>
      </w:r>
      <w:r w:rsidR="00A66F1E">
        <w:rPr>
          <w:rFonts w:ascii="Arial" w:hAnsi="Arial" w:cs="Arial"/>
          <w:sz w:val="22"/>
          <w:szCs w:val="22"/>
          <w:lang w:val="en-GB"/>
        </w:rPr>
        <w:t>.</w:t>
      </w:r>
      <w:r w:rsidRPr="00A66F1E">
        <w:rPr>
          <w:rFonts w:ascii="Arial" w:hAnsi="Arial" w:cs="Arial"/>
          <w:sz w:val="22"/>
          <w:szCs w:val="22"/>
          <w:lang w:val="en-GB"/>
        </w:rPr>
        <w:t>1%</w:t>
      </w:r>
      <w:r w:rsidR="0070084C">
        <w:rPr>
          <w:rFonts w:ascii="Arial" w:hAnsi="Arial" w:cs="Arial"/>
          <w:sz w:val="22"/>
          <w:szCs w:val="22"/>
          <w:lang w:val="en-GB"/>
        </w:rPr>
        <w:t xml:space="preserve"> –</w:t>
      </w:r>
      <w:r w:rsidRPr="00A66F1E">
        <w:rPr>
          <w:rFonts w:ascii="Arial" w:hAnsi="Arial" w:cs="Arial"/>
          <w:sz w:val="22"/>
          <w:szCs w:val="22"/>
          <w:lang w:val="en-GB"/>
        </w:rPr>
        <w:t xml:space="preserve"> lower than the</w:t>
      </w:r>
      <w:r w:rsidR="0070084C">
        <w:rPr>
          <w:rFonts w:ascii="Arial" w:hAnsi="Arial" w:cs="Arial"/>
          <w:sz w:val="22"/>
          <w:szCs w:val="22"/>
          <w:lang w:val="en-GB"/>
        </w:rPr>
        <w:t xml:space="preserve"> country’s </w:t>
      </w:r>
      <w:r w:rsidR="00A30C8C" w:rsidRPr="00A66F1E">
        <w:rPr>
          <w:rFonts w:ascii="Arial" w:hAnsi="Arial" w:cs="Arial"/>
          <w:sz w:val="22"/>
          <w:szCs w:val="22"/>
          <w:lang w:val="en-GB"/>
        </w:rPr>
        <w:lastRenderedPageBreak/>
        <w:t xml:space="preserve">WTO </w:t>
      </w:r>
      <w:r w:rsidRPr="00A66F1E">
        <w:rPr>
          <w:rFonts w:ascii="Arial" w:hAnsi="Arial" w:cs="Arial"/>
          <w:sz w:val="22"/>
          <w:szCs w:val="22"/>
          <w:lang w:val="en-GB"/>
        </w:rPr>
        <w:t xml:space="preserve">commitments </w:t>
      </w:r>
      <w:r w:rsidR="0070084C">
        <w:rPr>
          <w:rFonts w:ascii="Arial" w:hAnsi="Arial" w:cs="Arial"/>
          <w:sz w:val="22"/>
          <w:szCs w:val="22"/>
          <w:lang w:val="en-GB"/>
        </w:rPr>
        <w:t xml:space="preserve">of </w:t>
      </w:r>
      <w:r w:rsidRPr="00A66F1E">
        <w:rPr>
          <w:rFonts w:ascii="Arial" w:hAnsi="Arial" w:cs="Arial"/>
          <w:sz w:val="22"/>
          <w:szCs w:val="22"/>
          <w:lang w:val="en-GB"/>
        </w:rPr>
        <w:t>12</w:t>
      </w:r>
      <w:r w:rsidR="00A66F1E">
        <w:rPr>
          <w:rFonts w:ascii="Arial" w:hAnsi="Arial" w:cs="Arial"/>
          <w:sz w:val="22"/>
          <w:szCs w:val="22"/>
          <w:lang w:val="en-GB"/>
        </w:rPr>
        <w:t>.</w:t>
      </w:r>
      <w:r w:rsidRPr="00A66F1E">
        <w:rPr>
          <w:rFonts w:ascii="Arial" w:hAnsi="Arial" w:cs="Arial"/>
          <w:sz w:val="22"/>
          <w:szCs w:val="22"/>
          <w:lang w:val="en-GB"/>
        </w:rPr>
        <w:t>2% and 6</w:t>
      </w:r>
      <w:r w:rsidR="00A66F1E">
        <w:rPr>
          <w:rFonts w:ascii="Arial" w:hAnsi="Arial" w:cs="Arial"/>
          <w:sz w:val="22"/>
          <w:szCs w:val="22"/>
          <w:lang w:val="en-GB"/>
        </w:rPr>
        <w:t>.</w:t>
      </w:r>
      <w:r w:rsidRPr="00A66F1E">
        <w:rPr>
          <w:rFonts w:ascii="Arial" w:hAnsi="Arial" w:cs="Arial"/>
          <w:sz w:val="22"/>
          <w:szCs w:val="22"/>
          <w:lang w:val="en-GB"/>
        </w:rPr>
        <w:t>5%</w:t>
      </w:r>
      <w:r w:rsidR="00A66F1E">
        <w:rPr>
          <w:rFonts w:ascii="Arial" w:hAnsi="Arial" w:cs="Arial"/>
          <w:sz w:val="22"/>
          <w:szCs w:val="22"/>
          <w:lang w:val="en-GB"/>
        </w:rPr>
        <w:t>,</w:t>
      </w:r>
      <w:r w:rsidRPr="00A66F1E">
        <w:rPr>
          <w:rFonts w:ascii="Arial" w:hAnsi="Arial" w:cs="Arial"/>
          <w:sz w:val="22"/>
          <w:szCs w:val="22"/>
          <w:lang w:val="en-GB"/>
        </w:rPr>
        <w:t xml:space="preserve"> respectively.</w:t>
      </w:r>
      <w:r w:rsidRPr="00A66F1E">
        <w:rPr>
          <w:rStyle w:val="FootnoteReference"/>
          <w:rFonts w:ascii="Arial" w:hAnsi="Arial" w:cs="Arial"/>
          <w:sz w:val="22"/>
          <w:szCs w:val="22"/>
          <w:lang w:val="en-GB"/>
        </w:rPr>
        <w:footnoteReference w:id="4"/>
      </w:r>
      <w:r w:rsidRPr="00A66F1E">
        <w:rPr>
          <w:rFonts w:ascii="Arial" w:hAnsi="Arial" w:cs="Arial"/>
          <w:sz w:val="22"/>
          <w:szCs w:val="22"/>
          <w:lang w:val="en-GB"/>
        </w:rPr>
        <w:t xml:space="preserve"> According to a World Bank assessment, Kyrgyzstan’s trade regime is </w:t>
      </w:r>
      <w:r w:rsidR="00A66F1E">
        <w:rPr>
          <w:rFonts w:ascii="Arial" w:hAnsi="Arial" w:cs="Arial"/>
          <w:sz w:val="22"/>
          <w:szCs w:val="22"/>
          <w:lang w:val="en-GB"/>
        </w:rPr>
        <w:t>‘</w:t>
      </w:r>
      <w:r w:rsidRPr="00A66F1E">
        <w:rPr>
          <w:rFonts w:ascii="Arial" w:hAnsi="Arial" w:cs="Arial"/>
          <w:sz w:val="22"/>
          <w:szCs w:val="22"/>
          <w:lang w:val="en-GB"/>
        </w:rPr>
        <w:t>ranked 15th out of 125 countries,</w:t>
      </w:r>
      <w:r w:rsidR="00A30C8C" w:rsidRPr="00A66F1E">
        <w:rPr>
          <w:rFonts w:ascii="Arial" w:hAnsi="Arial" w:cs="Arial"/>
          <w:sz w:val="22"/>
          <w:szCs w:val="22"/>
          <w:lang w:val="en-GB"/>
        </w:rPr>
        <w:t xml:space="preserve"> [and]</w:t>
      </w:r>
      <w:r w:rsidRPr="00A66F1E">
        <w:rPr>
          <w:rFonts w:ascii="Arial" w:hAnsi="Arial" w:cs="Arial"/>
          <w:sz w:val="22"/>
          <w:szCs w:val="22"/>
          <w:lang w:val="en-GB"/>
        </w:rPr>
        <w:t xml:space="preserve"> is more open than that of an average Europe and Central Asia (ECA) (4.4</w:t>
      </w:r>
      <w:r w:rsidR="00A66F1E">
        <w:rPr>
          <w:rFonts w:ascii="Arial" w:hAnsi="Arial" w:cs="Arial"/>
          <w:sz w:val="22"/>
          <w:szCs w:val="22"/>
          <w:lang w:val="en-GB"/>
        </w:rPr>
        <w:t>%</w:t>
      </w:r>
      <w:r w:rsidRPr="00A66F1E">
        <w:rPr>
          <w:rFonts w:ascii="Arial" w:hAnsi="Arial" w:cs="Arial"/>
          <w:sz w:val="22"/>
          <w:szCs w:val="22"/>
          <w:lang w:val="en-GB"/>
        </w:rPr>
        <w:t>) or low-income country (11.6</w:t>
      </w:r>
      <w:r w:rsidR="00A66F1E">
        <w:rPr>
          <w:rFonts w:ascii="Arial" w:hAnsi="Arial" w:cs="Arial"/>
          <w:sz w:val="22"/>
          <w:szCs w:val="22"/>
          <w:lang w:val="en-GB"/>
        </w:rPr>
        <w:t>%</w:t>
      </w:r>
      <w:r w:rsidRPr="00A66F1E">
        <w:rPr>
          <w:rFonts w:ascii="Arial" w:hAnsi="Arial" w:cs="Arial"/>
          <w:sz w:val="22"/>
          <w:szCs w:val="22"/>
          <w:lang w:val="en-GB"/>
        </w:rPr>
        <w:t>).</w:t>
      </w:r>
      <w:r w:rsidR="00A66F1E">
        <w:rPr>
          <w:rFonts w:ascii="Arial" w:hAnsi="Arial" w:cs="Arial"/>
          <w:sz w:val="22"/>
          <w:szCs w:val="22"/>
          <w:lang w:val="en-GB"/>
        </w:rPr>
        <w:t>’</w:t>
      </w:r>
      <w:r w:rsidRPr="00A66F1E">
        <w:rPr>
          <w:rStyle w:val="FootnoteReference"/>
          <w:rFonts w:ascii="Arial" w:hAnsi="Arial" w:cs="Arial"/>
          <w:sz w:val="22"/>
          <w:szCs w:val="22"/>
          <w:lang w:val="en-GB"/>
        </w:rPr>
        <w:footnoteReference w:id="5"/>
      </w:r>
      <w:r w:rsidR="00A30C8C" w:rsidRPr="00A66F1E">
        <w:rPr>
          <w:rFonts w:ascii="Arial" w:hAnsi="Arial" w:cs="Arial"/>
          <w:sz w:val="22"/>
          <w:szCs w:val="22"/>
          <w:lang w:val="en-GB"/>
        </w:rPr>
        <w:t xml:space="preserve"> </w:t>
      </w:r>
      <w:r w:rsidR="0070084C">
        <w:rPr>
          <w:rFonts w:ascii="Arial" w:hAnsi="Arial" w:cs="Arial"/>
          <w:sz w:val="22"/>
          <w:szCs w:val="22"/>
          <w:lang w:val="en-GB"/>
        </w:rPr>
        <w:t>Since</w:t>
      </w:r>
      <w:r w:rsidRPr="00A66F1E">
        <w:rPr>
          <w:rFonts w:ascii="Arial" w:hAnsi="Arial" w:cs="Arial"/>
          <w:sz w:val="22"/>
          <w:szCs w:val="22"/>
          <w:lang w:val="en-GB"/>
        </w:rPr>
        <w:t xml:space="preserve"> 2012</w:t>
      </w:r>
      <w:r w:rsidR="00A30C8C" w:rsidRPr="00A66F1E">
        <w:rPr>
          <w:rFonts w:ascii="Arial" w:hAnsi="Arial" w:cs="Arial"/>
          <w:sz w:val="22"/>
          <w:szCs w:val="22"/>
          <w:lang w:val="en-GB"/>
        </w:rPr>
        <w:t xml:space="preserve"> the</w:t>
      </w:r>
      <w:r w:rsidRPr="00A66F1E">
        <w:rPr>
          <w:rFonts w:ascii="Arial" w:hAnsi="Arial" w:cs="Arial"/>
          <w:sz w:val="22"/>
          <w:szCs w:val="22"/>
          <w:lang w:val="en-GB"/>
        </w:rPr>
        <w:t xml:space="preserve"> Kyrgyz</w:t>
      </w:r>
      <w:r w:rsidR="00A30C8C" w:rsidRPr="00A66F1E">
        <w:rPr>
          <w:rFonts w:ascii="Arial" w:hAnsi="Arial" w:cs="Arial"/>
          <w:sz w:val="22"/>
          <w:szCs w:val="22"/>
          <w:lang w:val="en-GB"/>
        </w:rPr>
        <w:t xml:space="preserve"> government</w:t>
      </w:r>
      <w:r w:rsidRPr="00A66F1E">
        <w:rPr>
          <w:rFonts w:ascii="Arial" w:hAnsi="Arial" w:cs="Arial"/>
          <w:sz w:val="22"/>
          <w:szCs w:val="22"/>
          <w:lang w:val="en-GB"/>
        </w:rPr>
        <w:t xml:space="preserve"> has been debating </w:t>
      </w:r>
      <w:r w:rsidR="00A30C8C" w:rsidRPr="00A66F1E">
        <w:rPr>
          <w:rFonts w:ascii="Arial" w:hAnsi="Arial" w:cs="Arial"/>
          <w:sz w:val="22"/>
          <w:szCs w:val="22"/>
          <w:lang w:val="en-GB"/>
        </w:rPr>
        <w:t>whether to join</w:t>
      </w:r>
      <w:r w:rsidRPr="00A66F1E">
        <w:rPr>
          <w:rFonts w:ascii="Arial" w:hAnsi="Arial" w:cs="Arial"/>
          <w:sz w:val="22"/>
          <w:szCs w:val="22"/>
          <w:lang w:val="en-GB"/>
        </w:rPr>
        <w:t xml:space="preserve"> the Customs Union of Russia, Belarus and Kazakhstan. While </w:t>
      </w:r>
      <w:r w:rsidR="00A30C8C" w:rsidRPr="00A66F1E">
        <w:rPr>
          <w:rFonts w:ascii="Arial" w:hAnsi="Arial" w:cs="Arial"/>
          <w:sz w:val="22"/>
          <w:szCs w:val="22"/>
          <w:lang w:val="en-GB"/>
        </w:rPr>
        <w:t xml:space="preserve">the government in </w:t>
      </w:r>
      <w:r w:rsidRPr="00A66F1E">
        <w:rPr>
          <w:rFonts w:ascii="Arial" w:hAnsi="Arial" w:cs="Arial"/>
          <w:sz w:val="22"/>
          <w:szCs w:val="22"/>
          <w:lang w:val="en-GB"/>
        </w:rPr>
        <w:t xml:space="preserve">Bishkek </w:t>
      </w:r>
      <w:r w:rsidR="0070084C">
        <w:rPr>
          <w:rFonts w:ascii="Arial" w:hAnsi="Arial" w:cs="Arial"/>
          <w:sz w:val="22"/>
          <w:szCs w:val="22"/>
          <w:lang w:val="en-GB"/>
        </w:rPr>
        <w:t xml:space="preserve">has </w:t>
      </w:r>
      <w:r w:rsidRPr="00A66F1E">
        <w:rPr>
          <w:rFonts w:ascii="Arial" w:hAnsi="Arial" w:cs="Arial"/>
          <w:sz w:val="22"/>
          <w:szCs w:val="22"/>
          <w:lang w:val="en-GB"/>
        </w:rPr>
        <w:t>apparently</w:t>
      </w:r>
      <w:r w:rsidR="00A30C8C" w:rsidRPr="00A66F1E">
        <w:rPr>
          <w:rFonts w:ascii="Arial" w:hAnsi="Arial" w:cs="Arial"/>
          <w:sz w:val="22"/>
          <w:szCs w:val="22"/>
          <w:lang w:val="en-GB"/>
        </w:rPr>
        <w:t xml:space="preserve"> </w:t>
      </w:r>
      <w:r w:rsidRPr="00A66F1E">
        <w:rPr>
          <w:rFonts w:ascii="Arial" w:hAnsi="Arial" w:cs="Arial"/>
          <w:sz w:val="22"/>
          <w:szCs w:val="22"/>
          <w:lang w:val="en-GB"/>
        </w:rPr>
        <w:t xml:space="preserve">been under </w:t>
      </w:r>
      <w:r w:rsidR="0070084C">
        <w:rPr>
          <w:rFonts w:ascii="Arial" w:hAnsi="Arial" w:cs="Arial"/>
          <w:sz w:val="22"/>
          <w:szCs w:val="22"/>
          <w:lang w:val="en-GB"/>
        </w:rPr>
        <w:t>some</w:t>
      </w:r>
      <w:r w:rsidRPr="00A66F1E">
        <w:rPr>
          <w:rFonts w:ascii="Arial" w:hAnsi="Arial" w:cs="Arial"/>
          <w:sz w:val="22"/>
          <w:szCs w:val="22"/>
          <w:lang w:val="en-GB"/>
        </w:rPr>
        <w:t xml:space="preserve"> pressure from the members of the </w:t>
      </w:r>
      <w:r w:rsidR="00BD10FD" w:rsidRPr="00A66F1E">
        <w:rPr>
          <w:rFonts w:ascii="Arial" w:hAnsi="Arial" w:cs="Arial"/>
          <w:sz w:val="22"/>
          <w:szCs w:val="22"/>
          <w:lang w:val="en-GB"/>
        </w:rPr>
        <w:t>CU</w:t>
      </w:r>
      <w:r w:rsidRPr="00A66F1E">
        <w:rPr>
          <w:rFonts w:ascii="Arial" w:hAnsi="Arial" w:cs="Arial"/>
          <w:sz w:val="22"/>
          <w:szCs w:val="22"/>
          <w:lang w:val="en-GB"/>
        </w:rPr>
        <w:t xml:space="preserve">, domestic experts have not yet </w:t>
      </w:r>
      <w:r w:rsidR="00A30C8C" w:rsidRPr="00A66F1E">
        <w:rPr>
          <w:rFonts w:ascii="Arial" w:hAnsi="Arial" w:cs="Arial"/>
          <w:sz w:val="22"/>
          <w:szCs w:val="22"/>
          <w:lang w:val="en-GB"/>
        </w:rPr>
        <w:t>agreed</w:t>
      </w:r>
      <w:r w:rsidRPr="00A66F1E">
        <w:rPr>
          <w:rFonts w:ascii="Arial" w:hAnsi="Arial" w:cs="Arial"/>
          <w:sz w:val="22"/>
          <w:szCs w:val="22"/>
          <w:lang w:val="en-GB"/>
        </w:rPr>
        <w:t xml:space="preserve"> whether the benefits of joining </w:t>
      </w:r>
      <w:r w:rsidR="00A30C8C" w:rsidRPr="00A66F1E">
        <w:rPr>
          <w:rFonts w:ascii="Arial" w:hAnsi="Arial" w:cs="Arial"/>
          <w:sz w:val="22"/>
          <w:szCs w:val="22"/>
          <w:lang w:val="en-GB"/>
        </w:rPr>
        <w:t xml:space="preserve">are </w:t>
      </w:r>
      <w:r w:rsidR="0070084C">
        <w:rPr>
          <w:rFonts w:ascii="Arial" w:hAnsi="Arial" w:cs="Arial"/>
          <w:sz w:val="22"/>
          <w:szCs w:val="22"/>
          <w:lang w:val="en-GB"/>
        </w:rPr>
        <w:t>greater</w:t>
      </w:r>
      <w:r w:rsidR="00A30C8C" w:rsidRPr="00A66F1E">
        <w:rPr>
          <w:rFonts w:ascii="Arial" w:hAnsi="Arial" w:cs="Arial"/>
          <w:sz w:val="22"/>
          <w:szCs w:val="22"/>
          <w:lang w:val="en-GB"/>
        </w:rPr>
        <w:t xml:space="preserve"> than the potential negative</w:t>
      </w:r>
      <w:r w:rsidRPr="00A66F1E">
        <w:rPr>
          <w:rFonts w:ascii="Arial" w:hAnsi="Arial" w:cs="Arial"/>
          <w:sz w:val="22"/>
          <w:szCs w:val="22"/>
          <w:lang w:val="en-GB"/>
        </w:rPr>
        <w:t xml:space="preserve"> side-effects for such </w:t>
      </w:r>
      <w:r w:rsidR="00A30C8C" w:rsidRPr="00A66F1E">
        <w:rPr>
          <w:rFonts w:ascii="Arial" w:hAnsi="Arial" w:cs="Arial"/>
          <w:sz w:val="22"/>
          <w:szCs w:val="22"/>
          <w:lang w:val="en-GB"/>
        </w:rPr>
        <w:t xml:space="preserve">a </w:t>
      </w:r>
      <w:r w:rsidRPr="00A66F1E">
        <w:rPr>
          <w:rFonts w:ascii="Arial" w:hAnsi="Arial" w:cs="Arial"/>
          <w:sz w:val="22"/>
          <w:szCs w:val="22"/>
          <w:lang w:val="en-GB"/>
        </w:rPr>
        <w:t xml:space="preserve">small economy as </w:t>
      </w:r>
      <w:r w:rsidR="0070084C">
        <w:rPr>
          <w:rFonts w:ascii="Arial" w:hAnsi="Arial" w:cs="Arial"/>
          <w:sz w:val="22"/>
          <w:szCs w:val="22"/>
          <w:lang w:val="en-GB"/>
        </w:rPr>
        <w:t>that of</w:t>
      </w:r>
      <w:r w:rsidRPr="00A66F1E">
        <w:rPr>
          <w:rFonts w:ascii="Arial" w:hAnsi="Arial" w:cs="Arial"/>
          <w:sz w:val="22"/>
          <w:szCs w:val="22"/>
          <w:lang w:val="en-GB"/>
        </w:rPr>
        <w:t xml:space="preserve"> </w:t>
      </w:r>
      <w:r w:rsidR="00A30C8C" w:rsidRPr="00A66F1E">
        <w:rPr>
          <w:rFonts w:ascii="Arial" w:hAnsi="Arial" w:cs="Arial"/>
          <w:sz w:val="22"/>
          <w:szCs w:val="22"/>
          <w:lang w:val="en-GB"/>
        </w:rPr>
        <w:t>Kyrgyz</w:t>
      </w:r>
      <w:r w:rsidR="0070084C">
        <w:rPr>
          <w:rFonts w:ascii="Arial" w:hAnsi="Arial" w:cs="Arial"/>
          <w:sz w:val="22"/>
          <w:szCs w:val="22"/>
          <w:lang w:val="en-GB"/>
        </w:rPr>
        <w:t>stan</w:t>
      </w:r>
      <w:r w:rsidR="00A30C8C" w:rsidRPr="00A66F1E">
        <w:rPr>
          <w:rFonts w:ascii="Arial" w:hAnsi="Arial" w:cs="Arial"/>
          <w:sz w:val="22"/>
          <w:szCs w:val="22"/>
          <w:lang w:val="en-GB"/>
        </w:rPr>
        <w:t>.</w:t>
      </w:r>
      <w:r w:rsidRPr="00A66F1E">
        <w:rPr>
          <w:rFonts w:ascii="Arial" w:hAnsi="Arial" w:cs="Arial"/>
          <w:sz w:val="22"/>
          <w:szCs w:val="22"/>
          <w:lang w:val="en-GB"/>
        </w:rPr>
        <w:t xml:space="preserve"> </w:t>
      </w:r>
    </w:p>
    <w:p w:rsidR="00E332CF" w:rsidRPr="00A66F1E" w:rsidRDefault="00E332CF" w:rsidP="00A66F1E">
      <w:pPr>
        <w:pStyle w:val="Default"/>
        <w:spacing w:line="360" w:lineRule="auto"/>
        <w:rPr>
          <w:rFonts w:ascii="Arial" w:hAnsi="Arial" w:cs="Arial"/>
          <w:b/>
          <w:sz w:val="22"/>
          <w:szCs w:val="22"/>
          <w:lang w:val="en-GB"/>
        </w:rPr>
      </w:pPr>
    </w:p>
    <w:p w:rsidR="00E332CF" w:rsidRPr="00A66F1E" w:rsidRDefault="00E332CF" w:rsidP="00A66F1E">
      <w:pPr>
        <w:pStyle w:val="Default"/>
        <w:spacing w:line="360" w:lineRule="auto"/>
        <w:rPr>
          <w:rFonts w:ascii="Arial" w:hAnsi="Arial" w:cs="Arial"/>
          <w:b/>
          <w:sz w:val="22"/>
          <w:szCs w:val="22"/>
          <w:lang w:val="en-GB"/>
        </w:rPr>
      </w:pPr>
      <w:r w:rsidRPr="00A66F1E">
        <w:rPr>
          <w:rFonts w:ascii="Arial" w:hAnsi="Arial" w:cs="Arial"/>
          <w:b/>
          <w:sz w:val="22"/>
          <w:szCs w:val="22"/>
          <w:lang w:val="en-GB"/>
        </w:rPr>
        <w:t>Tajikistan</w:t>
      </w:r>
    </w:p>
    <w:p w:rsidR="00E332CF" w:rsidRPr="00A66F1E" w:rsidRDefault="00E332CF" w:rsidP="003F4E5B">
      <w:pPr>
        <w:spacing w:line="360" w:lineRule="auto"/>
        <w:jc w:val="both"/>
        <w:rPr>
          <w:b/>
          <w:lang w:val="en-GB"/>
        </w:rPr>
      </w:pPr>
      <w:r w:rsidRPr="00A66F1E">
        <w:rPr>
          <w:lang w:val="en-GB"/>
        </w:rPr>
        <w:t>Tajikistan’s trade policy remains liberal</w:t>
      </w:r>
      <w:r w:rsidR="0070084C">
        <w:rPr>
          <w:lang w:val="en-GB"/>
        </w:rPr>
        <w:t>,</w:t>
      </w:r>
      <w:r w:rsidRPr="00A66F1E">
        <w:rPr>
          <w:lang w:val="en-GB"/>
        </w:rPr>
        <w:t xml:space="preserve"> with relatively uniform and stable</w:t>
      </w:r>
      <w:r w:rsidR="0070084C">
        <w:rPr>
          <w:lang w:val="en-GB"/>
        </w:rPr>
        <w:t xml:space="preserve"> tariff</w:t>
      </w:r>
      <w:r w:rsidRPr="00A66F1E">
        <w:rPr>
          <w:lang w:val="en-GB"/>
        </w:rPr>
        <w:t>. The average tariff rate stands at 7.5%.</w:t>
      </w:r>
      <w:r w:rsidR="0070084C">
        <w:rPr>
          <w:lang w:val="en-GB"/>
        </w:rPr>
        <w:t>Several</w:t>
      </w:r>
      <w:r w:rsidRPr="00A66F1E">
        <w:rPr>
          <w:lang w:val="en-GB"/>
        </w:rPr>
        <w:t xml:space="preserve"> non-zero tariff bands are under 4</w:t>
      </w:r>
      <w:r w:rsidR="0070084C">
        <w:rPr>
          <w:lang w:val="en-GB"/>
        </w:rPr>
        <w:t>%</w:t>
      </w:r>
      <w:r w:rsidRPr="00A66F1E">
        <w:rPr>
          <w:lang w:val="en-GB"/>
        </w:rPr>
        <w:t xml:space="preserve"> and the maximum band is set at 15%. Tariffs have remained stable, with no changes over the past 5 years. Non- tariff barriers (NTBs) are not used for protectionist purposes; the few that remain are a reflection of differences in standards and quality requirements. The </w:t>
      </w:r>
      <w:r w:rsidR="0070084C">
        <w:rPr>
          <w:lang w:val="en-GB"/>
        </w:rPr>
        <w:t>g</w:t>
      </w:r>
      <w:r w:rsidRPr="00A66F1E">
        <w:rPr>
          <w:lang w:val="en-GB"/>
        </w:rPr>
        <w:t xml:space="preserve">overnment </w:t>
      </w:r>
      <w:r w:rsidR="00BD1A2C">
        <w:rPr>
          <w:lang w:val="en-GB"/>
        </w:rPr>
        <w:t xml:space="preserve">in Dushanbe </w:t>
      </w:r>
      <w:r w:rsidRPr="00A66F1E">
        <w:rPr>
          <w:lang w:val="en-GB"/>
        </w:rPr>
        <w:t>charges a sales tax on selected strategic export items</w:t>
      </w:r>
      <w:r w:rsidR="0070084C">
        <w:rPr>
          <w:lang w:val="en-GB"/>
        </w:rPr>
        <w:t>,</w:t>
      </w:r>
      <w:r w:rsidRPr="00A66F1E">
        <w:rPr>
          <w:rStyle w:val="FootnoteReference"/>
          <w:rFonts w:cs="Arial"/>
          <w:lang w:val="en-GB"/>
        </w:rPr>
        <w:footnoteReference w:id="6"/>
      </w:r>
      <w:r w:rsidR="0070084C">
        <w:rPr>
          <w:lang w:val="en-GB"/>
        </w:rPr>
        <w:t xml:space="preserve"> but o</w:t>
      </w:r>
      <w:r w:rsidRPr="00A66F1E">
        <w:rPr>
          <w:lang w:val="en-GB"/>
        </w:rPr>
        <w:t xml:space="preserve">ther exports are exempted from taxation. The Customs Service (CS) and the Ministry of Economic Development and Trade (MEDT) are working to eliminate remaining technical barriers to trade and to improve understanding of the roles and functions of </w:t>
      </w:r>
      <w:r w:rsidR="0070084C">
        <w:rPr>
          <w:lang w:val="en-GB"/>
        </w:rPr>
        <w:t>specific</w:t>
      </w:r>
      <w:r w:rsidRPr="00A66F1E">
        <w:rPr>
          <w:lang w:val="en-GB"/>
        </w:rPr>
        <w:t xml:space="preserve"> government institutions in trade facilitation. The </w:t>
      </w:r>
      <w:r w:rsidR="0070084C">
        <w:rPr>
          <w:lang w:val="en-GB"/>
        </w:rPr>
        <w:t>g</w:t>
      </w:r>
      <w:r w:rsidRPr="00A66F1E">
        <w:rPr>
          <w:lang w:val="en-GB"/>
        </w:rPr>
        <w:t xml:space="preserve">overnment has taken steps to </w:t>
      </w:r>
      <w:r w:rsidR="00BD1A2C">
        <w:rPr>
          <w:lang w:val="en-GB"/>
        </w:rPr>
        <w:t>ensure that</w:t>
      </w:r>
      <w:r w:rsidRPr="00A66F1E">
        <w:rPr>
          <w:lang w:val="en-GB"/>
        </w:rPr>
        <w:t xml:space="preserve"> compulsory certification and licensing procedures </w:t>
      </w:r>
      <w:r w:rsidR="00BD1A2C">
        <w:rPr>
          <w:lang w:val="en-GB"/>
        </w:rPr>
        <w:t>are completed in the course of</w:t>
      </w:r>
      <w:r w:rsidRPr="00A66F1E">
        <w:rPr>
          <w:lang w:val="en-GB"/>
        </w:rPr>
        <w:t xml:space="preserve"> two days</w:t>
      </w:r>
      <w:r w:rsidR="00BD1A2C">
        <w:rPr>
          <w:lang w:val="en-GB"/>
        </w:rPr>
        <w:t>,</w:t>
      </w:r>
      <w:r w:rsidRPr="00A66F1E">
        <w:rPr>
          <w:lang w:val="en-GB"/>
        </w:rPr>
        <w:t xml:space="preserve"> and</w:t>
      </w:r>
      <w:r w:rsidR="00BD1A2C">
        <w:rPr>
          <w:lang w:val="en-GB"/>
        </w:rPr>
        <w:t xml:space="preserve"> to reduce</w:t>
      </w:r>
      <w:r w:rsidRPr="00A66F1E">
        <w:rPr>
          <w:lang w:val="en-GB"/>
        </w:rPr>
        <w:t xml:space="preserve"> the certification stock to 65% of the current level.</w:t>
      </w:r>
      <w:r w:rsidRPr="00A66F1E">
        <w:rPr>
          <w:rStyle w:val="FootnoteReference"/>
          <w:rFonts w:cs="Arial"/>
          <w:lang w:val="en-GB"/>
        </w:rPr>
        <w:footnoteReference w:id="7"/>
      </w:r>
      <w:r w:rsidRPr="00A66F1E">
        <w:rPr>
          <w:lang w:val="en-GB"/>
        </w:rPr>
        <w:t xml:space="preserve"> Logistical costs of trading in account for 22</w:t>
      </w:r>
      <w:r w:rsidR="00BD1A2C">
        <w:rPr>
          <w:lang w:val="en-GB"/>
        </w:rPr>
        <w:t xml:space="preserve">% to </w:t>
      </w:r>
      <w:r w:rsidRPr="00A66F1E">
        <w:rPr>
          <w:lang w:val="en-GB"/>
        </w:rPr>
        <w:t>25% of the merchandi</w:t>
      </w:r>
      <w:r w:rsidR="00BD1A2C">
        <w:rPr>
          <w:lang w:val="en-GB"/>
        </w:rPr>
        <w:t>s</w:t>
      </w:r>
      <w:r w:rsidRPr="00A66F1E">
        <w:rPr>
          <w:lang w:val="en-GB"/>
        </w:rPr>
        <w:t>e trade value</w:t>
      </w:r>
      <w:r w:rsidR="00825F0A">
        <w:rPr>
          <w:lang w:val="en-GB"/>
        </w:rPr>
        <w:t xml:space="preserve"> – </w:t>
      </w:r>
      <w:r w:rsidRPr="00A66F1E">
        <w:rPr>
          <w:lang w:val="en-GB"/>
        </w:rPr>
        <w:t>one of the highest ratios in the world. Landlocked geographic condition</w:t>
      </w:r>
      <w:r w:rsidR="00BD1A2C">
        <w:rPr>
          <w:lang w:val="en-GB"/>
        </w:rPr>
        <w:t>s</w:t>
      </w:r>
      <w:r w:rsidRPr="00A66F1E">
        <w:rPr>
          <w:lang w:val="en-GB"/>
        </w:rPr>
        <w:t xml:space="preserve">, poor customs infrastructure and </w:t>
      </w:r>
      <w:r w:rsidR="00BD1A2C">
        <w:rPr>
          <w:lang w:val="en-GB"/>
        </w:rPr>
        <w:t xml:space="preserve">the </w:t>
      </w:r>
      <w:r w:rsidRPr="00A66F1E">
        <w:rPr>
          <w:lang w:val="en-GB"/>
        </w:rPr>
        <w:t xml:space="preserve">transit system through Uzbekistan create serious disruptions to </w:t>
      </w:r>
      <w:r w:rsidR="00BD1A2C" w:rsidRPr="00A66F1E">
        <w:rPr>
          <w:lang w:val="en-GB"/>
        </w:rPr>
        <w:t>Tajikistan</w:t>
      </w:r>
      <w:r w:rsidR="00BD1A2C">
        <w:rPr>
          <w:lang w:val="en-GB"/>
        </w:rPr>
        <w:t xml:space="preserve">’s </w:t>
      </w:r>
      <w:r w:rsidRPr="00A66F1E">
        <w:rPr>
          <w:lang w:val="en-GB"/>
        </w:rPr>
        <w:t xml:space="preserve">international trade and add significantly to the logistics costs. Therefore, the </w:t>
      </w:r>
      <w:r w:rsidR="00BD1A2C">
        <w:rPr>
          <w:lang w:val="en-GB"/>
        </w:rPr>
        <w:t>g</w:t>
      </w:r>
      <w:r w:rsidRPr="00A66F1E">
        <w:rPr>
          <w:lang w:val="en-GB"/>
        </w:rPr>
        <w:t xml:space="preserve">overnment </w:t>
      </w:r>
      <w:r w:rsidR="00BD1A2C">
        <w:rPr>
          <w:lang w:val="en-GB"/>
        </w:rPr>
        <w:t>has been seeking</w:t>
      </w:r>
      <w:r w:rsidR="00A30C8C" w:rsidRPr="00A66F1E">
        <w:rPr>
          <w:lang w:val="en-GB"/>
        </w:rPr>
        <w:t xml:space="preserve"> </w:t>
      </w:r>
      <w:r w:rsidRPr="00A66F1E">
        <w:rPr>
          <w:lang w:val="en-GB"/>
        </w:rPr>
        <w:t>donor support and private fund</w:t>
      </w:r>
      <w:r w:rsidR="00BD1A2C">
        <w:rPr>
          <w:lang w:val="en-GB"/>
        </w:rPr>
        <w:t>ing</w:t>
      </w:r>
      <w:r w:rsidRPr="00A66F1E">
        <w:rPr>
          <w:lang w:val="en-GB"/>
        </w:rPr>
        <w:t xml:space="preserve"> to </w:t>
      </w:r>
      <w:r w:rsidRPr="00A66F1E">
        <w:rPr>
          <w:lang w:val="en-GB"/>
        </w:rPr>
        <w:lastRenderedPageBreak/>
        <w:t xml:space="preserve">improve the quality of domestic transport infrastructure and </w:t>
      </w:r>
      <w:r w:rsidR="00A30C8C" w:rsidRPr="00A66F1E">
        <w:rPr>
          <w:lang w:val="en-GB"/>
        </w:rPr>
        <w:t xml:space="preserve">to </w:t>
      </w:r>
      <w:r w:rsidR="00BD1A2C">
        <w:rPr>
          <w:lang w:val="en-GB"/>
        </w:rPr>
        <w:t xml:space="preserve">enable </w:t>
      </w:r>
      <w:r w:rsidRPr="00A66F1E">
        <w:rPr>
          <w:lang w:val="en-GB"/>
        </w:rPr>
        <w:t>connect</w:t>
      </w:r>
      <w:r w:rsidR="00BD1A2C">
        <w:rPr>
          <w:lang w:val="en-GB"/>
        </w:rPr>
        <w:t>ions</w:t>
      </w:r>
      <w:r w:rsidRPr="00A66F1E">
        <w:rPr>
          <w:lang w:val="en-GB"/>
        </w:rPr>
        <w:t xml:space="preserve"> to alternative regional transport routes.</w:t>
      </w:r>
    </w:p>
    <w:p w:rsidR="00E332CF" w:rsidRPr="00A66F1E" w:rsidRDefault="00E332CF" w:rsidP="00A66F1E">
      <w:pPr>
        <w:pStyle w:val="Default"/>
        <w:spacing w:line="360" w:lineRule="auto"/>
        <w:rPr>
          <w:rFonts w:ascii="Arial" w:hAnsi="Arial" w:cs="Arial"/>
          <w:b/>
          <w:sz w:val="22"/>
          <w:szCs w:val="22"/>
          <w:lang w:val="en-GB"/>
        </w:rPr>
      </w:pPr>
    </w:p>
    <w:p w:rsidR="00E332CF" w:rsidRPr="00A66F1E" w:rsidRDefault="00E332CF" w:rsidP="003F4E5B">
      <w:pPr>
        <w:pStyle w:val="Default"/>
        <w:spacing w:line="360" w:lineRule="auto"/>
        <w:jc w:val="both"/>
        <w:rPr>
          <w:rFonts w:ascii="Arial" w:hAnsi="Arial" w:cs="Arial"/>
          <w:b/>
          <w:sz w:val="22"/>
          <w:szCs w:val="22"/>
          <w:lang w:val="en-GB"/>
        </w:rPr>
      </w:pPr>
      <w:r w:rsidRPr="00A66F1E">
        <w:rPr>
          <w:rFonts w:ascii="Arial" w:hAnsi="Arial" w:cs="Arial"/>
          <w:b/>
          <w:sz w:val="22"/>
          <w:szCs w:val="22"/>
          <w:lang w:val="en-GB"/>
        </w:rPr>
        <w:t>Turkmenistan</w:t>
      </w:r>
    </w:p>
    <w:p w:rsidR="00950E1A" w:rsidRPr="00A66F1E" w:rsidRDefault="00BD1A2C" w:rsidP="003F4E5B">
      <w:pPr>
        <w:pStyle w:val="Default"/>
        <w:spacing w:line="360" w:lineRule="auto"/>
        <w:jc w:val="both"/>
        <w:rPr>
          <w:rFonts w:ascii="Arial" w:hAnsi="Arial" w:cs="Arial"/>
          <w:sz w:val="22"/>
          <w:szCs w:val="22"/>
          <w:lang w:val="en-GB"/>
        </w:rPr>
      </w:pPr>
      <w:r>
        <w:rPr>
          <w:rFonts w:ascii="Arial" w:hAnsi="Arial" w:cs="Arial"/>
          <w:sz w:val="22"/>
          <w:szCs w:val="22"/>
          <w:lang w:val="en-GB"/>
        </w:rPr>
        <w:t xml:space="preserve">Judged by </w:t>
      </w:r>
      <w:r w:rsidR="00E332CF" w:rsidRPr="00A66F1E">
        <w:rPr>
          <w:rFonts w:ascii="Arial" w:hAnsi="Arial" w:cs="Arial"/>
          <w:sz w:val="22"/>
          <w:szCs w:val="22"/>
          <w:lang w:val="en-GB"/>
        </w:rPr>
        <w:t xml:space="preserve">its 5.1% simple average of the World Bank </w:t>
      </w:r>
      <w:r w:rsidR="00E332CF" w:rsidRPr="00A66F1E">
        <w:rPr>
          <w:rStyle w:val="Emphasis"/>
          <w:rFonts w:ascii="Arial" w:hAnsi="Arial" w:cs="Arial"/>
          <w:sz w:val="22"/>
          <w:szCs w:val="22"/>
          <w:lang w:val="en-GB"/>
        </w:rPr>
        <w:t xml:space="preserve">Most </w:t>
      </w:r>
      <w:proofErr w:type="spellStart"/>
      <w:r w:rsidR="00E332CF" w:rsidRPr="00A66F1E">
        <w:rPr>
          <w:rStyle w:val="Emphasis"/>
          <w:rFonts w:ascii="Arial" w:hAnsi="Arial" w:cs="Arial"/>
          <w:sz w:val="22"/>
          <w:szCs w:val="22"/>
          <w:lang w:val="en-GB"/>
        </w:rPr>
        <w:t>Favored</w:t>
      </w:r>
      <w:proofErr w:type="spellEnd"/>
      <w:r w:rsidR="00E332CF" w:rsidRPr="00A66F1E">
        <w:rPr>
          <w:rStyle w:val="Emphasis"/>
          <w:rFonts w:ascii="Arial" w:hAnsi="Arial" w:cs="Arial"/>
          <w:sz w:val="22"/>
          <w:szCs w:val="22"/>
          <w:lang w:val="en-GB"/>
        </w:rPr>
        <w:t xml:space="preserve"> Nation (</w:t>
      </w:r>
      <w:r w:rsidR="00E332CF" w:rsidRPr="00A66F1E">
        <w:rPr>
          <w:rFonts w:ascii="Arial" w:hAnsi="Arial" w:cs="Arial"/>
          <w:sz w:val="22"/>
          <w:szCs w:val="22"/>
          <w:lang w:val="en-GB"/>
        </w:rPr>
        <w:t xml:space="preserve">MFN) applied tariff in 2002, the </w:t>
      </w:r>
      <w:r>
        <w:rPr>
          <w:rFonts w:ascii="Arial" w:hAnsi="Arial" w:cs="Arial"/>
          <w:sz w:val="22"/>
          <w:szCs w:val="22"/>
          <w:lang w:val="en-GB"/>
        </w:rPr>
        <w:t>most recent</w:t>
      </w:r>
      <w:r w:rsidR="00E332CF" w:rsidRPr="00A66F1E">
        <w:rPr>
          <w:rFonts w:ascii="Arial" w:hAnsi="Arial" w:cs="Arial"/>
          <w:sz w:val="22"/>
          <w:szCs w:val="22"/>
          <w:lang w:val="en-GB"/>
        </w:rPr>
        <w:t xml:space="preserve"> year for which internationally comparable tariff data </w:t>
      </w:r>
      <w:r>
        <w:rPr>
          <w:rFonts w:ascii="Arial" w:hAnsi="Arial" w:cs="Arial"/>
          <w:sz w:val="22"/>
          <w:szCs w:val="22"/>
          <w:lang w:val="en-GB"/>
        </w:rPr>
        <w:t>are</w:t>
      </w:r>
      <w:r w:rsidR="00E332CF" w:rsidRPr="00A66F1E">
        <w:rPr>
          <w:rFonts w:ascii="Arial" w:hAnsi="Arial" w:cs="Arial"/>
          <w:sz w:val="22"/>
          <w:szCs w:val="22"/>
          <w:lang w:val="en-GB"/>
        </w:rPr>
        <w:t xml:space="preserve"> available, Turkmenistan had a regime more open to trade than an average Europe</w:t>
      </w:r>
      <w:r w:rsidR="003D7CDF" w:rsidRPr="00A66F1E">
        <w:rPr>
          <w:rFonts w:ascii="Arial" w:hAnsi="Arial" w:cs="Arial"/>
          <w:sz w:val="22"/>
          <w:szCs w:val="22"/>
          <w:lang w:val="en-GB"/>
        </w:rPr>
        <w:t>an</w:t>
      </w:r>
      <w:r w:rsidR="00E332CF" w:rsidRPr="00A66F1E">
        <w:rPr>
          <w:rFonts w:ascii="Arial" w:hAnsi="Arial" w:cs="Arial"/>
          <w:sz w:val="22"/>
          <w:szCs w:val="22"/>
          <w:lang w:val="en-GB"/>
        </w:rPr>
        <w:t xml:space="preserve"> and Central Asia</w:t>
      </w:r>
      <w:r w:rsidR="003D7CDF" w:rsidRPr="00A66F1E">
        <w:rPr>
          <w:rFonts w:ascii="Arial" w:hAnsi="Arial" w:cs="Arial"/>
          <w:sz w:val="22"/>
          <w:szCs w:val="22"/>
          <w:lang w:val="en-GB"/>
        </w:rPr>
        <w:t>n</w:t>
      </w:r>
      <w:r w:rsidR="00E332CF" w:rsidRPr="00A66F1E">
        <w:rPr>
          <w:rFonts w:ascii="Arial" w:hAnsi="Arial" w:cs="Arial"/>
          <w:sz w:val="22"/>
          <w:szCs w:val="22"/>
          <w:lang w:val="en-GB"/>
        </w:rPr>
        <w:t xml:space="preserve"> (ECA) </w:t>
      </w:r>
      <w:r>
        <w:rPr>
          <w:rFonts w:ascii="Arial" w:hAnsi="Arial" w:cs="Arial"/>
          <w:sz w:val="22"/>
          <w:szCs w:val="22"/>
          <w:lang w:val="en-GB"/>
        </w:rPr>
        <w:t xml:space="preserve">country </w:t>
      </w:r>
      <w:r w:rsidR="00E332CF" w:rsidRPr="00A66F1E">
        <w:rPr>
          <w:rFonts w:ascii="Arial" w:hAnsi="Arial" w:cs="Arial"/>
          <w:sz w:val="22"/>
          <w:szCs w:val="22"/>
          <w:lang w:val="en-GB"/>
        </w:rPr>
        <w:t>(9.5</w:t>
      </w:r>
      <w:r>
        <w:rPr>
          <w:rFonts w:ascii="Arial" w:hAnsi="Arial" w:cs="Arial"/>
          <w:sz w:val="22"/>
          <w:szCs w:val="22"/>
          <w:lang w:val="en-GB"/>
        </w:rPr>
        <w:t>%</w:t>
      </w:r>
      <w:r w:rsidR="00E332CF" w:rsidRPr="00A66F1E">
        <w:rPr>
          <w:rFonts w:ascii="Arial" w:hAnsi="Arial" w:cs="Arial"/>
          <w:sz w:val="22"/>
          <w:szCs w:val="22"/>
          <w:lang w:val="en-GB"/>
        </w:rPr>
        <w:t xml:space="preserve">) or </w:t>
      </w:r>
      <w:r>
        <w:rPr>
          <w:rFonts w:ascii="Arial" w:hAnsi="Arial" w:cs="Arial"/>
          <w:sz w:val="22"/>
          <w:szCs w:val="22"/>
          <w:lang w:val="en-GB"/>
        </w:rPr>
        <w:t xml:space="preserve">a </w:t>
      </w:r>
      <w:r w:rsidR="00E332CF" w:rsidRPr="00A66F1E">
        <w:rPr>
          <w:rFonts w:ascii="Arial" w:hAnsi="Arial" w:cs="Arial"/>
          <w:sz w:val="22"/>
          <w:szCs w:val="22"/>
          <w:lang w:val="en-GB"/>
        </w:rPr>
        <w:t xml:space="preserve">lower-middle-income (15.8%) country. Similar to </w:t>
      </w:r>
      <w:r>
        <w:rPr>
          <w:rFonts w:ascii="Arial" w:hAnsi="Arial" w:cs="Arial"/>
          <w:sz w:val="22"/>
          <w:szCs w:val="22"/>
          <w:lang w:val="en-GB"/>
        </w:rPr>
        <w:t>most</w:t>
      </w:r>
      <w:r w:rsidR="00E332CF" w:rsidRPr="00A66F1E">
        <w:rPr>
          <w:rFonts w:ascii="Arial" w:hAnsi="Arial" w:cs="Arial"/>
          <w:sz w:val="22"/>
          <w:szCs w:val="22"/>
          <w:lang w:val="en-GB"/>
        </w:rPr>
        <w:t xml:space="preserve"> in</w:t>
      </w:r>
      <w:r>
        <w:rPr>
          <w:rFonts w:ascii="Arial" w:hAnsi="Arial" w:cs="Arial"/>
          <w:sz w:val="22"/>
          <w:szCs w:val="22"/>
          <w:lang w:val="en-GB"/>
        </w:rPr>
        <w:t xml:space="preserve"> comparable</w:t>
      </w:r>
      <w:r w:rsidR="00E332CF" w:rsidRPr="00A66F1E">
        <w:rPr>
          <w:rFonts w:ascii="Arial" w:hAnsi="Arial" w:cs="Arial"/>
          <w:sz w:val="22"/>
          <w:szCs w:val="22"/>
          <w:lang w:val="en-GB"/>
        </w:rPr>
        <w:t xml:space="preserve"> groups, Turkmenistan is more protective of its agricultural goods (12.8% tariff) than of non-agricultural </w:t>
      </w:r>
      <w:r>
        <w:rPr>
          <w:rFonts w:ascii="Arial" w:hAnsi="Arial" w:cs="Arial"/>
          <w:sz w:val="22"/>
          <w:szCs w:val="22"/>
          <w:lang w:val="en-GB"/>
        </w:rPr>
        <w:t>items</w:t>
      </w:r>
      <w:r w:rsidR="00E332CF" w:rsidRPr="00A66F1E">
        <w:rPr>
          <w:rFonts w:ascii="Arial" w:hAnsi="Arial" w:cs="Arial"/>
          <w:sz w:val="22"/>
          <w:szCs w:val="22"/>
          <w:lang w:val="en-GB"/>
        </w:rPr>
        <w:t xml:space="preserve"> (3.9</w:t>
      </w:r>
      <w:r>
        <w:rPr>
          <w:rFonts w:ascii="Arial" w:hAnsi="Arial" w:cs="Arial"/>
          <w:sz w:val="22"/>
          <w:szCs w:val="22"/>
          <w:lang w:val="en-GB"/>
        </w:rPr>
        <w:t>%</w:t>
      </w:r>
      <w:r w:rsidR="00E332CF" w:rsidRPr="00A66F1E">
        <w:rPr>
          <w:rFonts w:ascii="Arial" w:hAnsi="Arial" w:cs="Arial"/>
          <w:sz w:val="22"/>
          <w:szCs w:val="22"/>
          <w:lang w:val="en-GB"/>
        </w:rPr>
        <w:t xml:space="preserve"> tariff). Moreover, the 80.1</w:t>
      </w:r>
      <w:r>
        <w:rPr>
          <w:rFonts w:ascii="Arial" w:hAnsi="Arial" w:cs="Arial"/>
          <w:sz w:val="22"/>
          <w:szCs w:val="22"/>
          <w:lang w:val="en-GB"/>
        </w:rPr>
        <w:t>%</w:t>
      </w:r>
      <w:r w:rsidR="00E332CF" w:rsidRPr="00A66F1E">
        <w:rPr>
          <w:rFonts w:ascii="Arial" w:hAnsi="Arial" w:cs="Arial"/>
          <w:sz w:val="22"/>
          <w:szCs w:val="22"/>
          <w:lang w:val="en-GB"/>
        </w:rPr>
        <w:t xml:space="preserve"> share of tariff lines with zero MFN tariff in 2002 was by far the highest in the region, where the average was 14.7</w:t>
      </w:r>
      <w:r>
        <w:rPr>
          <w:rFonts w:ascii="Arial" w:hAnsi="Arial" w:cs="Arial"/>
          <w:sz w:val="22"/>
          <w:szCs w:val="22"/>
          <w:lang w:val="en-GB"/>
        </w:rPr>
        <w:t>%</w:t>
      </w:r>
      <w:r w:rsidR="00E332CF" w:rsidRPr="00A66F1E">
        <w:rPr>
          <w:rFonts w:ascii="Arial" w:hAnsi="Arial" w:cs="Arial"/>
          <w:sz w:val="22"/>
          <w:szCs w:val="22"/>
          <w:lang w:val="en-GB"/>
        </w:rPr>
        <w:t>.</w:t>
      </w:r>
      <w:r w:rsidR="00E332CF" w:rsidRPr="00A66F1E">
        <w:rPr>
          <w:rStyle w:val="FootnoteReference"/>
          <w:rFonts w:ascii="Arial" w:hAnsi="Arial" w:cs="Arial"/>
          <w:b/>
          <w:bCs/>
          <w:sz w:val="22"/>
          <w:szCs w:val="22"/>
          <w:lang w:val="en-GB"/>
        </w:rPr>
        <w:footnoteReference w:id="8"/>
      </w:r>
      <w:r w:rsidR="00E332CF" w:rsidRPr="00A66F1E">
        <w:rPr>
          <w:rFonts w:ascii="Arial" w:hAnsi="Arial" w:cs="Arial"/>
          <w:sz w:val="22"/>
          <w:szCs w:val="22"/>
          <w:lang w:val="en-GB"/>
        </w:rPr>
        <w:t xml:space="preserve"> When trade flows are taken into consideration, it is apparent that exports </w:t>
      </w:r>
      <w:r w:rsidR="00B60526">
        <w:rPr>
          <w:rFonts w:ascii="Arial" w:hAnsi="Arial" w:cs="Arial"/>
          <w:sz w:val="22"/>
          <w:szCs w:val="22"/>
          <w:lang w:val="en-GB"/>
        </w:rPr>
        <w:t xml:space="preserve">from Turkmenistan </w:t>
      </w:r>
      <w:r w:rsidR="00E332CF" w:rsidRPr="00A66F1E">
        <w:rPr>
          <w:rFonts w:ascii="Arial" w:hAnsi="Arial" w:cs="Arial"/>
          <w:sz w:val="22"/>
          <w:szCs w:val="22"/>
          <w:lang w:val="en-GB"/>
        </w:rPr>
        <w:t xml:space="preserve">have good access to international markets, especially in comparison to </w:t>
      </w:r>
      <w:r w:rsidR="00B60526">
        <w:rPr>
          <w:rFonts w:ascii="Arial" w:hAnsi="Arial" w:cs="Arial"/>
          <w:sz w:val="22"/>
          <w:szCs w:val="22"/>
          <w:lang w:val="en-GB"/>
        </w:rPr>
        <w:t>the</w:t>
      </w:r>
      <w:r w:rsidR="00E332CF" w:rsidRPr="00A66F1E">
        <w:rPr>
          <w:rFonts w:ascii="Arial" w:hAnsi="Arial" w:cs="Arial"/>
          <w:sz w:val="22"/>
          <w:szCs w:val="22"/>
          <w:lang w:val="en-GB"/>
        </w:rPr>
        <w:t xml:space="preserve"> neighb</w:t>
      </w:r>
      <w:r w:rsidR="00B60526">
        <w:rPr>
          <w:rFonts w:ascii="Arial" w:hAnsi="Arial" w:cs="Arial"/>
          <w:sz w:val="22"/>
          <w:szCs w:val="22"/>
          <w:lang w:val="en-GB"/>
        </w:rPr>
        <w:t>ouring countries</w:t>
      </w:r>
      <w:r w:rsidR="00E332CF" w:rsidRPr="00A66F1E">
        <w:rPr>
          <w:rFonts w:ascii="Arial" w:hAnsi="Arial" w:cs="Arial"/>
          <w:sz w:val="22"/>
          <w:szCs w:val="22"/>
          <w:lang w:val="en-GB"/>
        </w:rPr>
        <w:t>. Turkmenistan’s weighted average rest</w:t>
      </w:r>
      <w:r w:rsidR="00B60526">
        <w:rPr>
          <w:rFonts w:ascii="Arial" w:hAnsi="Arial" w:cs="Arial"/>
          <w:sz w:val="22"/>
          <w:szCs w:val="22"/>
          <w:lang w:val="en-GB"/>
        </w:rPr>
        <w:t>-</w:t>
      </w:r>
      <w:r w:rsidR="00E332CF" w:rsidRPr="00A66F1E">
        <w:rPr>
          <w:rFonts w:ascii="Arial" w:hAnsi="Arial" w:cs="Arial"/>
          <w:sz w:val="22"/>
          <w:szCs w:val="22"/>
          <w:lang w:val="en-GB"/>
        </w:rPr>
        <w:t>of</w:t>
      </w:r>
      <w:r w:rsidR="00B60526">
        <w:rPr>
          <w:rFonts w:ascii="Arial" w:hAnsi="Arial" w:cs="Arial"/>
          <w:sz w:val="22"/>
          <w:szCs w:val="22"/>
          <w:lang w:val="en-GB"/>
        </w:rPr>
        <w:t>-</w:t>
      </w:r>
      <w:r w:rsidR="00E332CF" w:rsidRPr="00A66F1E">
        <w:rPr>
          <w:rFonts w:ascii="Arial" w:hAnsi="Arial" w:cs="Arial"/>
          <w:sz w:val="22"/>
          <w:szCs w:val="22"/>
          <w:lang w:val="en-GB"/>
        </w:rPr>
        <w:t>the</w:t>
      </w:r>
      <w:r w:rsidR="00B60526">
        <w:rPr>
          <w:rFonts w:ascii="Arial" w:hAnsi="Arial" w:cs="Arial"/>
          <w:sz w:val="22"/>
          <w:szCs w:val="22"/>
          <w:lang w:val="en-GB"/>
        </w:rPr>
        <w:t>-</w:t>
      </w:r>
      <w:r w:rsidR="00E332CF" w:rsidRPr="00A66F1E">
        <w:rPr>
          <w:rFonts w:ascii="Arial" w:hAnsi="Arial" w:cs="Arial"/>
          <w:sz w:val="22"/>
          <w:szCs w:val="22"/>
          <w:lang w:val="en-GB"/>
        </w:rPr>
        <w:t>world tariff (including preferences) is 1.5</w:t>
      </w:r>
      <w:r>
        <w:rPr>
          <w:rFonts w:ascii="Arial" w:hAnsi="Arial" w:cs="Arial"/>
          <w:sz w:val="22"/>
          <w:szCs w:val="22"/>
          <w:lang w:val="en-GB"/>
        </w:rPr>
        <w:t>%</w:t>
      </w:r>
      <w:r w:rsidR="00E332CF" w:rsidRPr="00A66F1E">
        <w:rPr>
          <w:rFonts w:ascii="Arial" w:hAnsi="Arial" w:cs="Arial"/>
          <w:sz w:val="22"/>
          <w:szCs w:val="22"/>
          <w:lang w:val="en-GB"/>
        </w:rPr>
        <w:t>, lower than the regional and income group averages of 2.1 and 2.9</w:t>
      </w:r>
      <w:r>
        <w:rPr>
          <w:rFonts w:ascii="Arial" w:hAnsi="Arial" w:cs="Arial"/>
          <w:sz w:val="22"/>
          <w:szCs w:val="22"/>
          <w:lang w:val="en-GB"/>
        </w:rPr>
        <w:t>%</w:t>
      </w:r>
      <w:r w:rsidR="00E332CF" w:rsidRPr="00A66F1E">
        <w:rPr>
          <w:rFonts w:ascii="Arial" w:hAnsi="Arial" w:cs="Arial"/>
          <w:sz w:val="22"/>
          <w:szCs w:val="22"/>
          <w:lang w:val="en-GB"/>
        </w:rPr>
        <w:t xml:space="preserve">, respectively. </w:t>
      </w:r>
      <w:r w:rsidR="00B60526">
        <w:rPr>
          <w:rFonts w:ascii="Arial" w:hAnsi="Arial" w:cs="Arial"/>
          <w:sz w:val="22"/>
          <w:szCs w:val="22"/>
          <w:lang w:val="en-GB"/>
        </w:rPr>
        <w:t>In contrast to most</w:t>
      </w:r>
      <w:r w:rsidR="00E332CF" w:rsidRPr="00A66F1E">
        <w:rPr>
          <w:rFonts w:ascii="Arial" w:hAnsi="Arial" w:cs="Arial"/>
          <w:sz w:val="22"/>
          <w:szCs w:val="22"/>
          <w:lang w:val="en-GB"/>
        </w:rPr>
        <w:t xml:space="preserve"> </w:t>
      </w:r>
      <w:r w:rsidR="00B60526">
        <w:rPr>
          <w:rFonts w:ascii="Arial" w:hAnsi="Arial" w:cs="Arial"/>
          <w:sz w:val="22"/>
          <w:szCs w:val="22"/>
          <w:lang w:val="en-GB"/>
        </w:rPr>
        <w:t xml:space="preserve">other </w:t>
      </w:r>
      <w:r w:rsidR="00E332CF" w:rsidRPr="00A66F1E">
        <w:rPr>
          <w:rFonts w:ascii="Arial" w:hAnsi="Arial" w:cs="Arial"/>
          <w:sz w:val="22"/>
          <w:szCs w:val="22"/>
          <w:lang w:val="en-GB"/>
        </w:rPr>
        <w:t xml:space="preserve">countries in the region, agricultural products </w:t>
      </w:r>
      <w:r w:rsidR="00B60526">
        <w:rPr>
          <w:rFonts w:ascii="Arial" w:hAnsi="Arial" w:cs="Arial"/>
          <w:sz w:val="22"/>
          <w:szCs w:val="22"/>
          <w:lang w:val="en-GB"/>
        </w:rPr>
        <w:t>from Turkmenistan enjoy</w:t>
      </w:r>
      <w:r w:rsidR="00E332CF" w:rsidRPr="00A66F1E">
        <w:rPr>
          <w:rFonts w:ascii="Arial" w:hAnsi="Arial" w:cs="Arial"/>
          <w:sz w:val="22"/>
          <w:szCs w:val="22"/>
          <w:lang w:val="en-GB"/>
        </w:rPr>
        <w:t xml:space="preserve"> a more favo</w:t>
      </w:r>
      <w:r w:rsidR="00B60526">
        <w:rPr>
          <w:rFonts w:ascii="Arial" w:hAnsi="Arial" w:cs="Arial"/>
          <w:sz w:val="22"/>
          <w:szCs w:val="22"/>
          <w:lang w:val="en-GB"/>
        </w:rPr>
        <w:t>u</w:t>
      </w:r>
      <w:r w:rsidR="00E332CF" w:rsidRPr="00A66F1E">
        <w:rPr>
          <w:rFonts w:ascii="Arial" w:hAnsi="Arial" w:cs="Arial"/>
          <w:sz w:val="22"/>
          <w:szCs w:val="22"/>
          <w:lang w:val="en-GB"/>
        </w:rPr>
        <w:t>rable trading environment (0.8</w:t>
      </w:r>
      <w:r>
        <w:rPr>
          <w:rFonts w:ascii="Arial" w:hAnsi="Arial" w:cs="Arial"/>
          <w:sz w:val="22"/>
          <w:szCs w:val="22"/>
          <w:lang w:val="en-GB"/>
        </w:rPr>
        <w:t>%</w:t>
      </w:r>
      <w:r w:rsidR="00E332CF" w:rsidRPr="00A66F1E">
        <w:rPr>
          <w:rFonts w:ascii="Arial" w:hAnsi="Arial" w:cs="Arial"/>
          <w:sz w:val="22"/>
          <w:szCs w:val="22"/>
          <w:lang w:val="en-GB"/>
        </w:rPr>
        <w:t xml:space="preserve"> tariff) than non-agricultural products (1.5</w:t>
      </w:r>
      <w:r w:rsidR="00A66F1E">
        <w:rPr>
          <w:rFonts w:ascii="Arial" w:hAnsi="Arial" w:cs="Arial"/>
          <w:sz w:val="22"/>
          <w:szCs w:val="22"/>
          <w:lang w:val="en-GB"/>
        </w:rPr>
        <w:t>%</w:t>
      </w:r>
      <w:r w:rsidR="00E332CF" w:rsidRPr="00A66F1E">
        <w:rPr>
          <w:rFonts w:ascii="Arial" w:hAnsi="Arial" w:cs="Arial"/>
          <w:sz w:val="22"/>
          <w:szCs w:val="22"/>
          <w:lang w:val="en-GB"/>
        </w:rPr>
        <w:t xml:space="preserve"> tariff). Turkmenistan is an observer at the WTO.</w:t>
      </w:r>
      <w:r w:rsidR="003D7CDF" w:rsidRPr="00A66F1E">
        <w:rPr>
          <w:rFonts w:ascii="Arial" w:hAnsi="Arial" w:cs="Arial"/>
          <w:sz w:val="22"/>
          <w:szCs w:val="22"/>
          <w:lang w:val="en-GB"/>
        </w:rPr>
        <w:t xml:space="preserve"> </w:t>
      </w:r>
    </w:p>
    <w:p w:rsidR="00D64907" w:rsidRPr="00A66F1E" w:rsidRDefault="00D64907" w:rsidP="003F4E5B">
      <w:pPr>
        <w:pStyle w:val="Default"/>
        <w:spacing w:line="360" w:lineRule="auto"/>
        <w:jc w:val="both"/>
        <w:rPr>
          <w:rFonts w:ascii="Arial" w:hAnsi="Arial" w:cs="Arial"/>
          <w:b/>
          <w:sz w:val="22"/>
          <w:szCs w:val="22"/>
          <w:lang w:val="en-GB"/>
        </w:rPr>
      </w:pPr>
    </w:p>
    <w:p w:rsidR="00E332CF" w:rsidRPr="00A66F1E" w:rsidRDefault="00E332CF" w:rsidP="003F4E5B">
      <w:pPr>
        <w:pStyle w:val="Default"/>
        <w:spacing w:line="360" w:lineRule="auto"/>
        <w:jc w:val="both"/>
        <w:rPr>
          <w:rFonts w:ascii="Arial" w:hAnsi="Arial" w:cs="Arial"/>
          <w:b/>
          <w:sz w:val="22"/>
          <w:szCs w:val="22"/>
          <w:lang w:val="en-GB"/>
        </w:rPr>
      </w:pPr>
      <w:r w:rsidRPr="00A66F1E">
        <w:rPr>
          <w:rFonts w:ascii="Arial" w:hAnsi="Arial" w:cs="Arial"/>
          <w:b/>
          <w:sz w:val="22"/>
          <w:szCs w:val="22"/>
          <w:lang w:val="en-GB"/>
        </w:rPr>
        <w:t>Uzbekistan</w:t>
      </w:r>
    </w:p>
    <w:p w:rsidR="00E332CF" w:rsidRPr="00A66F1E" w:rsidRDefault="00E332CF" w:rsidP="003F4E5B">
      <w:pPr>
        <w:spacing w:line="360" w:lineRule="auto"/>
        <w:jc w:val="both"/>
        <w:rPr>
          <w:lang w:val="en-GB"/>
        </w:rPr>
      </w:pPr>
      <w:r w:rsidRPr="00A66F1E">
        <w:rPr>
          <w:lang w:val="en-GB"/>
        </w:rPr>
        <w:t xml:space="preserve">Uzbekistan’s trade regime is relatively restrictive, with </w:t>
      </w:r>
      <w:r w:rsidR="00B60526">
        <w:rPr>
          <w:lang w:val="en-GB"/>
        </w:rPr>
        <w:t>various</w:t>
      </w:r>
      <w:r w:rsidRPr="00A66F1E">
        <w:rPr>
          <w:lang w:val="en-GB"/>
        </w:rPr>
        <w:t xml:space="preserve"> administrative measures aimed at suppressing domestic and external trade.</w:t>
      </w:r>
      <w:r w:rsidRPr="00A66F1E">
        <w:rPr>
          <w:rStyle w:val="FootnoteReference"/>
          <w:rFonts w:cs="Arial"/>
          <w:lang w:val="en-GB"/>
        </w:rPr>
        <w:footnoteReference w:id="9"/>
      </w:r>
      <w:r w:rsidR="003D7CDF" w:rsidRPr="00A66F1E">
        <w:rPr>
          <w:lang w:val="en-GB"/>
        </w:rPr>
        <w:t xml:space="preserve"> </w:t>
      </w:r>
      <w:r w:rsidRPr="00A66F1E">
        <w:rPr>
          <w:lang w:val="en-GB"/>
        </w:rPr>
        <w:t>The government tries to curb imports through high tariff protection and also non-tariff measures.</w:t>
      </w:r>
      <w:r w:rsidRPr="00A66F1E">
        <w:rPr>
          <w:rStyle w:val="FootnoteReference"/>
          <w:rFonts w:cs="Arial"/>
          <w:lang w:val="en-GB"/>
        </w:rPr>
        <w:footnoteReference w:id="10"/>
      </w:r>
      <w:r w:rsidRPr="00A66F1E">
        <w:rPr>
          <w:lang w:val="en-GB"/>
        </w:rPr>
        <w:t>Uzbekistan has import</w:t>
      </w:r>
      <w:r w:rsidRPr="00A66F1E">
        <w:rPr>
          <w:rFonts w:ascii="Cambria Math" w:hAnsi="Cambria Math"/>
          <w:lang w:val="en-GB"/>
        </w:rPr>
        <w:t>‐</w:t>
      </w:r>
      <w:r w:rsidRPr="00A66F1E">
        <w:rPr>
          <w:lang w:val="en-GB"/>
        </w:rPr>
        <w:t>exclusive excises, which significantly raise the rate of protection. The MFN tariff schedule applied to 38 countries has four bands, with tariffs escalating with the level of processing. Th</w:t>
      </w:r>
      <w:r w:rsidR="00B60526">
        <w:rPr>
          <w:lang w:val="en-GB"/>
        </w:rPr>
        <w:t>is</w:t>
      </w:r>
      <w:r w:rsidRPr="00A66F1E">
        <w:rPr>
          <w:lang w:val="en-GB"/>
        </w:rPr>
        <w:t xml:space="preserve"> schedule is designed to encourage imports of capital goods and production inputs</w:t>
      </w:r>
      <w:r w:rsidR="00B60526">
        <w:rPr>
          <w:lang w:val="en-GB"/>
        </w:rPr>
        <w:t>,</w:t>
      </w:r>
      <w:r w:rsidRPr="00A66F1E">
        <w:rPr>
          <w:lang w:val="en-GB"/>
        </w:rPr>
        <w:t xml:space="preserve"> and discourage import of consumer goods and other goods </w:t>
      </w:r>
      <w:r w:rsidR="00B60526">
        <w:rPr>
          <w:lang w:val="en-GB"/>
        </w:rPr>
        <w:t>that would compete</w:t>
      </w:r>
      <w:r w:rsidRPr="00A66F1E">
        <w:rPr>
          <w:lang w:val="en-GB"/>
        </w:rPr>
        <w:t xml:space="preserve"> with domestic production. Uzbekistan is more protective of its agricultural goods (19.5</w:t>
      </w:r>
      <w:r w:rsidR="00BD1A2C">
        <w:rPr>
          <w:lang w:val="en-GB"/>
        </w:rPr>
        <w:t>%</w:t>
      </w:r>
      <w:r w:rsidRPr="00A66F1E">
        <w:rPr>
          <w:lang w:val="en-GB"/>
        </w:rPr>
        <w:t xml:space="preserve"> tariff) than non-agricultural ones (14.9</w:t>
      </w:r>
      <w:r w:rsidR="00BD1A2C">
        <w:rPr>
          <w:lang w:val="en-GB"/>
        </w:rPr>
        <w:t>%</w:t>
      </w:r>
      <w:r w:rsidRPr="00A66F1E">
        <w:rPr>
          <w:lang w:val="en-GB"/>
        </w:rPr>
        <w:t xml:space="preserve"> tariff).Restricted access to foreign exchange further limits imports.</w:t>
      </w:r>
      <w:r w:rsidR="00BD1A2C">
        <w:rPr>
          <w:lang w:val="en-GB"/>
        </w:rPr>
        <w:t xml:space="preserve"> I</w:t>
      </w:r>
      <w:r w:rsidRPr="00A66F1E">
        <w:rPr>
          <w:lang w:val="en-GB"/>
        </w:rPr>
        <w:t xml:space="preserve">n order to stabilize domestic grain prices, an export ban </w:t>
      </w:r>
      <w:r w:rsidR="00BD1A2C">
        <w:rPr>
          <w:lang w:val="en-GB"/>
        </w:rPr>
        <w:t xml:space="preserve">has been emplaced </w:t>
      </w:r>
      <w:r w:rsidRPr="00A66F1E">
        <w:rPr>
          <w:lang w:val="en-GB"/>
        </w:rPr>
        <w:t xml:space="preserve">on grains, rice and flour. Moreover, at certain periods Uzbekistan rations export of agricultural products (mainly fruits </w:t>
      </w:r>
      <w:r w:rsidRPr="00A66F1E">
        <w:rPr>
          <w:lang w:val="en-GB"/>
        </w:rPr>
        <w:lastRenderedPageBreak/>
        <w:t xml:space="preserve">and vegetables) to Russia and Kazakhstan by administratively closing the borders </w:t>
      </w:r>
      <w:r w:rsidR="00B60526">
        <w:rPr>
          <w:lang w:val="en-GB"/>
        </w:rPr>
        <w:t>to</w:t>
      </w:r>
      <w:r w:rsidRPr="00A66F1E">
        <w:rPr>
          <w:lang w:val="en-GB"/>
        </w:rPr>
        <w:t xml:space="preserve"> agricultural exports</w:t>
      </w:r>
      <w:r w:rsidR="00B60526">
        <w:rPr>
          <w:lang w:val="en-GB"/>
        </w:rPr>
        <w:t>, so as to lower</w:t>
      </w:r>
      <w:r w:rsidRPr="00A66F1E">
        <w:rPr>
          <w:lang w:val="en-GB"/>
        </w:rPr>
        <w:t xml:space="preserve"> domestic prices for agricultural produce. </w:t>
      </w:r>
      <w:r w:rsidRPr="00A66F1E">
        <w:rPr>
          <w:lang w:val="en-GB"/>
        </w:rPr>
        <w:br w:type="page"/>
      </w:r>
    </w:p>
    <w:p w:rsidR="00E332CF" w:rsidRPr="00A66F1E" w:rsidRDefault="00E332CF" w:rsidP="00A66F1E">
      <w:pPr>
        <w:spacing w:line="360" w:lineRule="auto"/>
        <w:rPr>
          <w:lang w:val="en-GB"/>
        </w:rPr>
        <w:sectPr w:rsidR="00E332CF" w:rsidRPr="00A66F1E" w:rsidSect="00AA3363">
          <w:footerReference w:type="default" r:id="rId11"/>
          <w:pgSz w:w="11906" w:h="16838"/>
          <w:pgMar w:top="1417" w:right="1417" w:bottom="1417" w:left="1417" w:header="708" w:footer="708" w:gutter="0"/>
          <w:cols w:space="708"/>
          <w:docGrid w:linePitch="360"/>
        </w:sectPr>
      </w:pPr>
    </w:p>
    <w:p w:rsidR="00E332CF" w:rsidRPr="00A66F1E" w:rsidRDefault="00E332CF" w:rsidP="00A66F1E">
      <w:pPr>
        <w:pBdr>
          <w:bottom w:val="single" w:sz="4" w:space="1" w:color="auto"/>
        </w:pBdr>
        <w:autoSpaceDE w:val="0"/>
        <w:autoSpaceDN w:val="0"/>
        <w:adjustRightInd w:val="0"/>
        <w:spacing w:after="0" w:line="360" w:lineRule="auto"/>
        <w:rPr>
          <w:b/>
          <w:sz w:val="28"/>
          <w:szCs w:val="28"/>
          <w:lang w:val="en-GB"/>
        </w:rPr>
      </w:pPr>
    </w:p>
    <w:p w:rsidR="00E332CF" w:rsidRPr="00A66F1E" w:rsidRDefault="00E332CF" w:rsidP="00A66F1E">
      <w:pPr>
        <w:pStyle w:val="Default"/>
        <w:pBdr>
          <w:bottom w:val="single" w:sz="4" w:space="1" w:color="auto"/>
        </w:pBdr>
        <w:spacing w:line="360" w:lineRule="auto"/>
        <w:rPr>
          <w:rFonts w:ascii="Arial" w:hAnsi="Arial" w:cs="Arial"/>
          <w:b/>
          <w:sz w:val="28"/>
          <w:szCs w:val="28"/>
          <w:lang w:val="en-GB"/>
        </w:rPr>
      </w:pPr>
      <w:r w:rsidRPr="00A66F1E">
        <w:rPr>
          <w:rFonts w:ascii="Arial" w:hAnsi="Arial" w:cs="Arial"/>
          <w:b/>
          <w:sz w:val="28"/>
          <w:szCs w:val="28"/>
          <w:lang w:val="en-GB"/>
        </w:rPr>
        <w:t>Major export items</w:t>
      </w:r>
      <w:r w:rsidR="003271E0" w:rsidRPr="00A66F1E">
        <w:rPr>
          <w:rFonts w:ascii="Arial" w:hAnsi="Arial" w:cs="Arial"/>
          <w:b/>
          <w:sz w:val="28"/>
          <w:szCs w:val="28"/>
          <w:lang w:val="en-GB"/>
        </w:rPr>
        <w:t xml:space="preserve"> (goods and services)</w:t>
      </w:r>
      <w:r w:rsidRPr="00A66F1E">
        <w:rPr>
          <w:rFonts w:ascii="Arial" w:hAnsi="Arial" w:cs="Arial"/>
          <w:b/>
          <w:sz w:val="28"/>
          <w:szCs w:val="28"/>
          <w:lang w:val="en-GB"/>
        </w:rPr>
        <w:t xml:space="preserve"> from Central Asian countries</w:t>
      </w:r>
      <w:r w:rsidR="00F0342C" w:rsidRPr="00A66F1E">
        <w:rPr>
          <w:rFonts w:ascii="Arial" w:hAnsi="Arial" w:cs="Arial"/>
          <w:b/>
          <w:sz w:val="28"/>
          <w:szCs w:val="28"/>
          <w:lang w:val="en-GB"/>
        </w:rPr>
        <w:t xml:space="preserve"> </w:t>
      </w:r>
    </w:p>
    <w:p w:rsidR="00E332CF" w:rsidRPr="00A66F1E" w:rsidRDefault="00042A7E" w:rsidP="00A66F1E">
      <w:pPr>
        <w:pStyle w:val="Default"/>
        <w:pBdr>
          <w:bottom w:val="single" w:sz="4" w:space="1" w:color="auto"/>
        </w:pBdr>
        <w:spacing w:line="360" w:lineRule="auto"/>
        <w:rPr>
          <w:rFonts w:ascii="Arial" w:hAnsi="Arial" w:cs="Arial"/>
          <w:b/>
          <w:szCs w:val="22"/>
          <w:lang w:val="en-GB"/>
        </w:rPr>
      </w:pPr>
      <w:r w:rsidRPr="00A66F1E">
        <w:rPr>
          <w:rFonts w:ascii="Arial" w:hAnsi="Arial" w:cs="Arial"/>
          <w:b/>
          <w:szCs w:val="22"/>
          <w:lang w:val="en-GB"/>
        </w:rPr>
        <w:t>Kazakhstan</w:t>
      </w:r>
      <w:r>
        <w:rPr>
          <w:rFonts w:ascii="Arial" w:hAnsi="Arial" w:cs="Arial"/>
          <w:b/>
          <w:szCs w:val="22"/>
          <w:lang w:val="en-GB"/>
        </w:rPr>
        <w:t xml:space="preserve">: </w:t>
      </w:r>
      <w:r w:rsidR="00A66F1E">
        <w:rPr>
          <w:rFonts w:ascii="Arial" w:hAnsi="Arial" w:cs="Arial"/>
          <w:b/>
          <w:szCs w:val="22"/>
          <w:lang w:val="en-GB"/>
        </w:rPr>
        <w:t xml:space="preserve">Eight </w:t>
      </w:r>
      <w:r w:rsidR="00825F0A" w:rsidRPr="0022590D">
        <w:rPr>
          <w:rFonts w:ascii="Arial" w:hAnsi="Arial" w:cs="Arial"/>
          <w:b/>
          <w:szCs w:val="22"/>
          <w:lang w:val="en-GB"/>
        </w:rPr>
        <w:t>m</w:t>
      </w:r>
      <w:r w:rsidR="00357567" w:rsidRPr="0022590D">
        <w:rPr>
          <w:rFonts w:ascii="Arial" w:hAnsi="Arial" w:cs="Arial"/>
          <w:b/>
          <w:szCs w:val="22"/>
          <w:lang w:val="en-GB"/>
        </w:rPr>
        <w:t xml:space="preserve">ajor </w:t>
      </w:r>
      <w:r w:rsidR="003271E0" w:rsidRPr="0022590D">
        <w:rPr>
          <w:rFonts w:ascii="Arial" w:hAnsi="Arial" w:cs="Arial"/>
          <w:b/>
          <w:szCs w:val="22"/>
          <w:lang w:val="en-GB"/>
        </w:rPr>
        <w:t>export</w:t>
      </w:r>
      <w:r w:rsidR="003271E0" w:rsidRPr="00A66F1E">
        <w:rPr>
          <w:rFonts w:ascii="Arial" w:hAnsi="Arial" w:cs="Arial"/>
          <w:b/>
          <w:szCs w:val="22"/>
          <w:lang w:val="en-GB"/>
        </w:rPr>
        <w:t xml:space="preserve"> i</w:t>
      </w:r>
      <w:r w:rsidR="00E332CF" w:rsidRPr="00A66F1E">
        <w:rPr>
          <w:rFonts w:ascii="Arial" w:hAnsi="Arial" w:cs="Arial"/>
          <w:b/>
          <w:szCs w:val="22"/>
          <w:lang w:val="en-GB"/>
        </w:rPr>
        <w:t>tems</w:t>
      </w:r>
      <w:r w:rsidR="00A1563E" w:rsidRPr="00A66F1E">
        <w:rPr>
          <w:rFonts w:ascii="Arial" w:hAnsi="Arial" w:cs="Arial"/>
          <w:b/>
          <w:szCs w:val="22"/>
          <w:lang w:val="en-GB"/>
        </w:rPr>
        <w:t xml:space="preserve"> </w:t>
      </w:r>
      <w:r w:rsidR="00E332CF" w:rsidRPr="00A66F1E">
        <w:rPr>
          <w:rFonts w:ascii="Arial" w:hAnsi="Arial" w:cs="Arial"/>
          <w:b/>
          <w:szCs w:val="22"/>
          <w:lang w:val="en-GB"/>
        </w:rPr>
        <w:t>(</w:t>
      </w:r>
      <w:r w:rsidR="00825F0A">
        <w:rPr>
          <w:rFonts w:ascii="Arial" w:hAnsi="Arial" w:cs="Arial"/>
          <w:b/>
          <w:szCs w:val="22"/>
          <w:lang w:val="en-GB"/>
        </w:rPr>
        <w:t>USD</w:t>
      </w:r>
      <w:r w:rsidR="00E332CF" w:rsidRPr="00A66F1E">
        <w:rPr>
          <w:rFonts w:ascii="Arial" w:hAnsi="Arial" w:cs="Arial"/>
          <w:b/>
          <w:szCs w:val="22"/>
          <w:lang w:val="en-GB"/>
        </w:rPr>
        <w:t xml:space="preserve"> </w:t>
      </w:r>
      <w:r w:rsidR="00A66F1E">
        <w:rPr>
          <w:rFonts w:ascii="Arial" w:hAnsi="Arial" w:cs="Arial"/>
          <w:b/>
          <w:szCs w:val="22"/>
          <w:lang w:val="en-GB"/>
        </w:rPr>
        <w:t xml:space="preserve">mill. </w:t>
      </w:r>
      <w:r w:rsidR="00E332CF" w:rsidRPr="00A66F1E">
        <w:rPr>
          <w:rFonts w:ascii="Arial" w:hAnsi="Arial" w:cs="Arial"/>
          <w:b/>
          <w:szCs w:val="22"/>
          <w:lang w:val="en-GB"/>
        </w:rPr>
        <w:t>and as percentage of total exports)</w:t>
      </w:r>
    </w:p>
    <w:p w:rsidR="00FB07E3" w:rsidRPr="00A66F1E" w:rsidRDefault="00FB07E3" w:rsidP="00A66F1E">
      <w:pPr>
        <w:pStyle w:val="Default"/>
        <w:spacing w:line="360" w:lineRule="auto"/>
        <w:rPr>
          <w:rFonts w:ascii="Arial" w:hAnsi="Arial" w:cs="Arial"/>
          <w:b/>
          <w:sz w:val="22"/>
          <w:szCs w:val="22"/>
          <w:lang w:val="en-GB"/>
        </w:rPr>
      </w:pPr>
    </w:p>
    <w:tbl>
      <w:tblPr>
        <w:tblW w:w="15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936"/>
        <w:gridCol w:w="869"/>
        <w:gridCol w:w="869"/>
        <w:gridCol w:w="869"/>
        <w:gridCol w:w="869"/>
        <w:gridCol w:w="725"/>
        <w:gridCol w:w="1014"/>
        <w:gridCol w:w="580"/>
        <w:gridCol w:w="1159"/>
        <w:gridCol w:w="725"/>
        <w:gridCol w:w="1014"/>
        <w:gridCol w:w="1014"/>
        <w:gridCol w:w="1015"/>
        <w:gridCol w:w="1005"/>
      </w:tblGrid>
      <w:tr w:rsidR="00A1563E" w:rsidRPr="00A66F1E" w:rsidTr="0064777E">
        <w:trPr>
          <w:trHeight w:val="174"/>
        </w:trPr>
        <w:tc>
          <w:tcPr>
            <w:tcW w:w="2552" w:type="dxa"/>
            <w:vMerge w:val="restart"/>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p>
        </w:tc>
        <w:tc>
          <w:tcPr>
            <w:tcW w:w="1805" w:type="dxa"/>
            <w:gridSpan w:val="2"/>
            <w:tcBorders>
              <w:right w:val="single" w:sz="4" w:space="0" w:color="auto"/>
            </w:tcBorders>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1995</w:t>
            </w:r>
          </w:p>
        </w:tc>
        <w:tc>
          <w:tcPr>
            <w:tcW w:w="1738" w:type="dxa"/>
            <w:gridSpan w:val="2"/>
            <w:tcBorders>
              <w:left w:val="single" w:sz="4" w:space="0" w:color="auto"/>
            </w:tcBorders>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2000</w:t>
            </w:r>
          </w:p>
        </w:tc>
        <w:tc>
          <w:tcPr>
            <w:tcW w:w="1594" w:type="dxa"/>
            <w:gridSpan w:val="2"/>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2005</w:t>
            </w:r>
          </w:p>
        </w:tc>
        <w:tc>
          <w:tcPr>
            <w:tcW w:w="1594" w:type="dxa"/>
            <w:gridSpan w:val="2"/>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color w:val="auto"/>
                <w:sz w:val="20"/>
                <w:szCs w:val="20"/>
                <w:lang w:val="en-GB" w:eastAsia="ru-RU"/>
              </w:rPr>
              <w:t>2008</w:t>
            </w:r>
          </w:p>
        </w:tc>
        <w:tc>
          <w:tcPr>
            <w:tcW w:w="1884" w:type="dxa"/>
            <w:gridSpan w:val="2"/>
            <w:vAlign w:val="center"/>
          </w:tcPr>
          <w:p w:rsidR="00A1563E" w:rsidRPr="00A66F1E" w:rsidRDefault="00A1563E" w:rsidP="00A66F1E">
            <w:pPr>
              <w:spacing w:line="360" w:lineRule="auto"/>
              <w:jc w:val="center"/>
              <w:rPr>
                <w:lang w:val="en-GB"/>
              </w:rPr>
            </w:pPr>
            <w:r w:rsidRPr="00A66F1E">
              <w:rPr>
                <w:b/>
                <w:sz w:val="20"/>
                <w:szCs w:val="20"/>
                <w:lang w:val="en-GB" w:eastAsia="ru-RU"/>
              </w:rPr>
              <w:t>2009</w:t>
            </w:r>
          </w:p>
        </w:tc>
        <w:tc>
          <w:tcPr>
            <w:tcW w:w="2028" w:type="dxa"/>
            <w:gridSpan w:val="2"/>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2010</w:t>
            </w:r>
          </w:p>
        </w:tc>
        <w:tc>
          <w:tcPr>
            <w:tcW w:w="2020" w:type="dxa"/>
            <w:gridSpan w:val="2"/>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2011</w:t>
            </w:r>
          </w:p>
        </w:tc>
      </w:tr>
      <w:tr w:rsidR="00A1563E" w:rsidRPr="00A66F1E" w:rsidTr="0064777E">
        <w:trPr>
          <w:trHeight w:val="238"/>
        </w:trPr>
        <w:tc>
          <w:tcPr>
            <w:tcW w:w="2552" w:type="dxa"/>
            <w:vMerge/>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p>
        </w:tc>
        <w:tc>
          <w:tcPr>
            <w:tcW w:w="936"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869" w:type="dxa"/>
            <w:tcBorders>
              <w:right w:val="single" w:sz="4" w:space="0" w:color="auto"/>
            </w:tcBorders>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869" w:type="dxa"/>
            <w:tcBorders>
              <w:left w:val="single" w:sz="4" w:space="0" w:color="auto"/>
            </w:tcBorders>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869"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869"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725"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1014" w:type="dxa"/>
            <w:vAlign w:val="center"/>
          </w:tcPr>
          <w:p w:rsidR="00A1563E" w:rsidRPr="00A66F1E" w:rsidRDefault="00A1563E" w:rsidP="00A66F1E">
            <w:pPr>
              <w:pStyle w:val="Default"/>
              <w:spacing w:line="360" w:lineRule="auto"/>
              <w:jc w:val="center"/>
              <w:rPr>
                <w:rFonts w:ascii="Arial" w:hAnsi="Arial" w:cs="Arial"/>
                <w:b/>
                <w:color w:val="auto"/>
                <w:sz w:val="20"/>
                <w:szCs w:val="20"/>
                <w:lang w:val="en-GB" w:eastAsia="ru-RU"/>
              </w:rPr>
            </w:pPr>
            <w:r w:rsidRPr="00A66F1E">
              <w:rPr>
                <w:rFonts w:ascii="Arial" w:hAnsi="Arial" w:cs="Arial"/>
                <w:b/>
                <w:color w:val="auto"/>
                <w:sz w:val="20"/>
                <w:szCs w:val="20"/>
                <w:lang w:val="en-GB" w:eastAsia="ru-RU"/>
              </w:rPr>
              <w:t>USD</w:t>
            </w:r>
          </w:p>
        </w:tc>
        <w:tc>
          <w:tcPr>
            <w:tcW w:w="580"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1159"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725"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1014"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1014"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1015"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1005" w:type="dxa"/>
            <w:vAlign w:val="center"/>
          </w:tcPr>
          <w:p w:rsidR="00A1563E" w:rsidRPr="00A66F1E" w:rsidRDefault="00A1563E"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r>
      <w:tr w:rsidR="00BD10FD" w:rsidRPr="00A66F1E" w:rsidTr="0022590D">
        <w:trPr>
          <w:trHeight w:val="784"/>
        </w:trPr>
        <w:tc>
          <w:tcPr>
            <w:tcW w:w="2552" w:type="dxa"/>
            <w:vAlign w:val="center"/>
          </w:tcPr>
          <w:p w:rsidR="00BD10FD" w:rsidRPr="0022590D" w:rsidRDefault="00BD10FD" w:rsidP="0022590D">
            <w:pPr>
              <w:pStyle w:val="Default"/>
              <w:spacing w:line="276" w:lineRule="auto"/>
              <w:jc w:val="center"/>
              <w:rPr>
                <w:rFonts w:ascii="Arial" w:hAnsi="Arial" w:cs="Arial"/>
                <w:sz w:val="18"/>
                <w:szCs w:val="18"/>
                <w:lang w:val="en-GB" w:eastAsia="ru-RU"/>
              </w:rPr>
            </w:pPr>
            <w:r w:rsidRPr="0022590D">
              <w:rPr>
                <w:rFonts w:ascii="Arial" w:hAnsi="Arial" w:cs="Arial"/>
                <w:sz w:val="18"/>
                <w:szCs w:val="18"/>
                <w:lang w:val="en-GB" w:eastAsia="ru-RU"/>
              </w:rPr>
              <w:t>Crude oil and gas condensate</w:t>
            </w:r>
          </w:p>
        </w:tc>
        <w:tc>
          <w:tcPr>
            <w:tcW w:w="936" w:type="dxa"/>
            <w:vAlign w:val="center"/>
          </w:tcPr>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r w:rsidRPr="0022590D">
              <w:rPr>
                <w:rFonts w:ascii="Arial" w:hAnsi="Arial" w:cs="Arial"/>
                <w:sz w:val="18"/>
                <w:szCs w:val="18"/>
                <w:lang w:val="en-GB" w:eastAsia="ru-RU"/>
              </w:rPr>
              <w:t>79</w:t>
            </w:r>
            <w:r w:rsidR="0022590D" w:rsidRPr="0022590D">
              <w:rPr>
                <w:rFonts w:ascii="Arial" w:hAnsi="Arial" w:cs="Arial"/>
                <w:sz w:val="18"/>
                <w:szCs w:val="18"/>
                <w:lang w:val="en-GB" w:eastAsia="ru-RU"/>
              </w:rPr>
              <w:t>31</w:t>
            </w:r>
          </w:p>
        </w:tc>
        <w:tc>
          <w:tcPr>
            <w:tcW w:w="869" w:type="dxa"/>
            <w:tcBorders>
              <w:right w:val="single" w:sz="4" w:space="0" w:color="auto"/>
            </w:tcBorders>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48.</w:t>
            </w:r>
            <w:r w:rsidR="00BD10FD" w:rsidRPr="00A66F1E">
              <w:rPr>
                <w:rFonts w:ascii="Arial" w:hAnsi="Arial" w:cs="Arial"/>
                <w:sz w:val="18"/>
                <w:szCs w:val="18"/>
                <w:lang w:val="en-GB" w:eastAsia="ru-RU"/>
              </w:rPr>
              <w:t>9</w:t>
            </w:r>
          </w:p>
        </w:tc>
        <w:tc>
          <w:tcPr>
            <w:tcW w:w="869" w:type="dxa"/>
            <w:tcBorders>
              <w:left w:val="single" w:sz="4" w:space="0" w:color="auto"/>
            </w:tcBorders>
            <w:vAlign w:val="center"/>
          </w:tcPr>
          <w:p w:rsidR="00BD10FD" w:rsidRPr="00A66F1E" w:rsidRDefault="0022590D" w:rsidP="0022590D">
            <w:pPr>
              <w:pStyle w:val="Default"/>
              <w:spacing w:line="360" w:lineRule="auto"/>
              <w:jc w:val="center"/>
              <w:rPr>
                <w:rFonts w:ascii="Arial" w:eastAsia="Times New Roman" w:hAnsi="Arial" w:cs="Arial"/>
                <w:sz w:val="18"/>
                <w:szCs w:val="18"/>
                <w:lang w:val="en-GB" w:eastAsia="ru-RU"/>
              </w:rPr>
            </w:pPr>
            <w:r>
              <w:rPr>
                <w:rFonts w:ascii="Arial" w:hAnsi="Arial" w:cs="Arial"/>
                <w:sz w:val="18"/>
                <w:szCs w:val="18"/>
                <w:lang w:val="en-GB" w:eastAsia="ru-RU"/>
              </w:rPr>
              <w:t>4502</w:t>
            </w:r>
          </w:p>
        </w:tc>
        <w:tc>
          <w:tcPr>
            <w:tcW w:w="869" w:type="dxa"/>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51.</w:t>
            </w:r>
            <w:r w:rsidR="00BD10FD" w:rsidRPr="00A66F1E">
              <w:rPr>
                <w:rFonts w:ascii="Arial" w:hAnsi="Arial" w:cs="Arial"/>
                <w:sz w:val="18"/>
                <w:szCs w:val="18"/>
                <w:lang w:val="en-GB" w:eastAsia="ru-RU"/>
              </w:rPr>
              <w:t>1</w:t>
            </w:r>
          </w:p>
        </w:tc>
        <w:tc>
          <w:tcPr>
            <w:tcW w:w="86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17395</w:t>
            </w:r>
          </w:p>
        </w:tc>
        <w:tc>
          <w:tcPr>
            <w:tcW w:w="725"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38</w:t>
            </w:r>
            <w:r w:rsidR="0064777E" w:rsidRPr="00A66F1E">
              <w:rPr>
                <w:rFonts w:ascii="Arial" w:hAnsi="Arial" w:cs="Arial"/>
                <w:sz w:val="18"/>
                <w:szCs w:val="18"/>
                <w:lang w:val="en-GB" w:eastAsia="ru-RU"/>
              </w:rPr>
              <w:t>.</w:t>
            </w:r>
            <w:r w:rsidRPr="00A66F1E">
              <w:rPr>
                <w:rFonts w:ascii="Arial" w:hAnsi="Arial" w:cs="Arial"/>
                <w:sz w:val="18"/>
                <w:szCs w:val="18"/>
                <w:lang w:val="en-GB" w:eastAsia="ru-RU"/>
              </w:rPr>
              <w:t>5</w:t>
            </w:r>
          </w:p>
        </w:tc>
        <w:tc>
          <w:tcPr>
            <w:tcW w:w="1014" w:type="dxa"/>
            <w:vAlign w:val="center"/>
          </w:tcPr>
          <w:p w:rsidR="00BD10FD" w:rsidRPr="00A66F1E" w:rsidRDefault="0022590D" w:rsidP="0022590D">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41303</w:t>
            </w:r>
          </w:p>
        </w:tc>
        <w:tc>
          <w:tcPr>
            <w:tcW w:w="580"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58.</w:t>
            </w:r>
            <w:r w:rsidR="00BD10FD" w:rsidRPr="00A66F1E">
              <w:rPr>
                <w:rFonts w:ascii="Arial" w:hAnsi="Arial" w:cs="Arial"/>
                <w:sz w:val="18"/>
                <w:szCs w:val="18"/>
                <w:lang w:val="en-GB" w:eastAsia="ru-RU"/>
              </w:rPr>
              <w:t>0</w:t>
            </w:r>
          </w:p>
        </w:tc>
        <w:tc>
          <w:tcPr>
            <w:tcW w:w="115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26207</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60.</w:t>
            </w:r>
            <w:r w:rsidR="00BD10FD" w:rsidRPr="00A66F1E">
              <w:rPr>
                <w:rFonts w:ascii="Arial" w:hAnsi="Arial" w:cs="Arial"/>
                <w:sz w:val="18"/>
                <w:szCs w:val="18"/>
                <w:lang w:val="en-GB" w:eastAsia="ru-RU"/>
              </w:rPr>
              <w:t>7</w:t>
            </w:r>
          </w:p>
        </w:tc>
        <w:tc>
          <w:tcPr>
            <w:tcW w:w="1014"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36950</w:t>
            </w:r>
          </w:p>
        </w:tc>
        <w:tc>
          <w:tcPr>
            <w:tcW w:w="1014"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61.</w:t>
            </w:r>
            <w:r w:rsidR="00BD10FD" w:rsidRPr="00A66F1E">
              <w:rPr>
                <w:rFonts w:ascii="Arial" w:hAnsi="Arial" w:cs="Arial"/>
                <w:sz w:val="18"/>
                <w:szCs w:val="18"/>
                <w:lang w:val="en-GB" w:eastAsia="ru-RU"/>
              </w:rPr>
              <w:t>3</w:t>
            </w:r>
          </w:p>
        </w:tc>
        <w:tc>
          <w:tcPr>
            <w:tcW w:w="1015" w:type="dxa"/>
            <w:vAlign w:val="center"/>
          </w:tcPr>
          <w:p w:rsidR="00BD10FD" w:rsidRPr="0022590D"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55128</w:t>
            </w:r>
          </w:p>
        </w:tc>
        <w:tc>
          <w:tcPr>
            <w:tcW w:w="100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62.</w:t>
            </w:r>
            <w:r w:rsidR="00BD10FD" w:rsidRPr="00A66F1E">
              <w:rPr>
                <w:rFonts w:ascii="Arial" w:hAnsi="Arial" w:cs="Arial"/>
                <w:sz w:val="18"/>
                <w:szCs w:val="18"/>
                <w:lang w:val="en-GB" w:eastAsia="ru-RU"/>
              </w:rPr>
              <w:t>4</w:t>
            </w:r>
          </w:p>
        </w:tc>
      </w:tr>
      <w:tr w:rsidR="00BD10FD" w:rsidRPr="00A66F1E" w:rsidTr="0022590D">
        <w:trPr>
          <w:trHeight w:val="744"/>
        </w:trPr>
        <w:tc>
          <w:tcPr>
            <w:tcW w:w="2552" w:type="dxa"/>
            <w:vAlign w:val="center"/>
          </w:tcPr>
          <w:p w:rsidR="00BD10FD" w:rsidRPr="0022590D" w:rsidRDefault="00BD10FD" w:rsidP="0022590D">
            <w:pPr>
              <w:pStyle w:val="Default"/>
              <w:spacing w:line="276" w:lineRule="auto"/>
              <w:jc w:val="center"/>
              <w:rPr>
                <w:rFonts w:ascii="Arial" w:hAnsi="Arial" w:cs="Arial"/>
                <w:sz w:val="18"/>
                <w:szCs w:val="18"/>
                <w:lang w:val="en-GB" w:eastAsia="ru-RU"/>
              </w:rPr>
            </w:pPr>
            <w:r w:rsidRPr="0022590D">
              <w:rPr>
                <w:rFonts w:ascii="Arial" w:hAnsi="Arial" w:cs="Arial"/>
                <w:sz w:val="18"/>
                <w:szCs w:val="18"/>
                <w:lang w:val="en-GB" w:eastAsia="ru-RU"/>
              </w:rPr>
              <w:t>Purified copper and raw copper materials</w:t>
            </w:r>
          </w:p>
        </w:tc>
        <w:tc>
          <w:tcPr>
            <w:tcW w:w="936"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22590D" w:rsidP="0022590D">
            <w:pPr>
              <w:pStyle w:val="Default"/>
              <w:spacing w:line="360" w:lineRule="auto"/>
              <w:jc w:val="center"/>
              <w:rPr>
                <w:rFonts w:ascii="Arial" w:eastAsia="Times New Roman" w:hAnsi="Arial" w:cs="Arial"/>
                <w:sz w:val="18"/>
                <w:szCs w:val="18"/>
                <w:lang w:val="en-GB" w:eastAsia="ru-RU"/>
              </w:rPr>
            </w:pPr>
            <w:r>
              <w:rPr>
                <w:rFonts w:ascii="Arial" w:hAnsi="Arial" w:cs="Arial"/>
                <w:sz w:val="18"/>
                <w:szCs w:val="18"/>
                <w:lang w:val="en-GB" w:eastAsia="ru-RU"/>
              </w:rPr>
              <w:t>571</w:t>
            </w:r>
          </w:p>
        </w:tc>
        <w:tc>
          <w:tcPr>
            <w:tcW w:w="869" w:type="dxa"/>
            <w:tcBorders>
              <w:right w:val="single" w:sz="4" w:space="0" w:color="auto"/>
            </w:tcBorders>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10.</w:t>
            </w:r>
            <w:r w:rsidR="00BD10FD" w:rsidRPr="00A66F1E">
              <w:rPr>
                <w:rFonts w:ascii="Arial" w:hAnsi="Arial" w:cs="Arial"/>
                <w:sz w:val="18"/>
                <w:szCs w:val="18"/>
                <w:lang w:val="en-GB" w:eastAsia="ru-RU"/>
              </w:rPr>
              <w:t>9</w:t>
            </w:r>
          </w:p>
        </w:tc>
        <w:tc>
          <w:tcPr>
            <w:tcW w:w="869" w:type="dxa"/>
            <w:tcBorders>
              <w:left w:val="single" w:sz="4" w:space="0" w:color="auto"/>
            </w:tcBorders>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66</w:t>
            </w:r>
            <w:r w:rsidR="0022590D">
              <w:rPr>
                <w:rFonts w:ascii="Arial" w:hAnsi="Arial" w:cs="Arial"/>
                <w:sz w:val="18"/>
                <w:szCs w:val="18"/>
                <w:lang w:val="en-GB" w:eastAsia="ru-RU"/>
              </w:rPr>
              <w:t>9</w:t>
            </w:r>
          </w:p>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tc>
        <w:tc>
          <w:tcPr>
            <w:tcW w:w="869" w:type="dxa"/>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7.</w:t>
            </w:r>
            <w:r w:rsidR="00BD10FD" w:rsidRPr="00A66F1E">
              <w:rPr>
                <w:rFonts w:ascii="Arial" w:hAnsi="Arial" w:cs="Arial"/>
                <w:sz w:val="18"/>
                <w:szCs w:val="18"/>
                <w:lang w:val="en-GB" w:eastAsia="ru-RU"/>
              </w:rPr>
              <w:t>6</w:t>
            </w:r>
          </w:p>
        </w:tc>
        <w:tc>
          <w:tcPr>
            <w:tcW w:w="86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1436</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w:t>
            </w:r>
            <w:r w:rsidR="00BD10FD" w:rsidRPr="00A66F1E">
              <w:rPr>
                <w:rFonts w:ascii="Arial" w:hAnsi="Arial" w:cs="Arial"/>
                <w:sz w:val="18"/>
                <w:szCs w:val="18"/>
                <w:lang w:val="en-GB" w:eastAsia="ru-RU"/>
              </w:rPr>
              <w:t>1</w:t>
            </w:r>
          </w:p>
        </w:tc>
        <w:tc>
          <w:tcPr>
            <w:tcW w:w="1014" w:type="dxa"/>
            <w:vAlign w:val="center"/>
          </w:tcPr>
          <w:p w:rsidR="00BD10FD" w:rsidRPr="00A66F1E" w:rsidRDefault="0022590D" w:rsidP="0022590D">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2244</w:t>
            </w:r>
          </w:p>
        </w:tc>
        <w:tc>
          <w:tcPr>
            <w:tcW w:w="580"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BD10FD" w:rsidRPr="00A66F1E">
              <w:rPr>
                <w:rFonts w:ascii="Arial" w:hAnsi="Arial" w:cs="Arial"/>
                <w:sz w:val="18"/>
                <w:szCs w:val="18"/>
                <w:lang w:val="en-GB" w:eastAsia="ru-RU"/>
              </w:rPr>
              <w:t>1</w:t>
            </w:r>
          </w:p>
        </w:tc>
        <w:tc>
          <w:tcPr>
            <w:tcW w:w="115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1407</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BD10FD" w:rsidRPr="00A66F1E">
              <w:rPr>
                <w:rFonts w:ascii="Arial" w:hAnsi="Arial" w:cs="Arial"/>
                <w:sz w:val="18"/>
                <w:szCs w:val="18"/>
                <w:lang w:val="en-GB" w:eastAsia="ru-RU"/>
              </w:rPr>
              <w:t>2</w:t>
            </w:r>
          </w:p>
        </w:tc>
        <w:tc>
          <w:tcPr>
            <w:tcW w:w="1014"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1876</w:t>
            </w:r>
          </w:p>
        </w:tc>
        <w:tc>
          <w:tcPr>
            <w:tcW w:w="1014"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BD10FD" w:rsidRPr="00A66F1E">
              <w:rPr>
                <w:rFonts w:ascii="Arial" w:hAnsi="Arial" w:cs="Arial"/>
                <w:sz w:val="18"/>
                <w:szCs w:val="18"/>
                <w:lang w:val="en-GB" w:eastAsia="ru-RU"/>
              </w:rPr>
              <w:t>1</w:t>
            </w:r>
          </w:p>
        </w:tc>
        <w:tc>
          <w:tcPr>
            <w:tcW w:w="1015"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2542</w:t>
            </w:r>
          </w:p>
        </w:tc>
        <w:tc>
          <w:tcPr>
            <w:tcW w:w="100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w:t>
            </w:r>
            <w:r w:rsidR="00BD10FD" w:rsidRPr="00A66F1E">
              <w:rPr>
                <w:rFonts w:ascii="Arial" w:hAnsi="Arial" w:cs="Arial"/>
                <w:sz w:val="18"/>
                <w:szCs w:val="18"/>
                <w:lang w:val="en-GB" w:eastAsia="ru-RU"/>
              </w:rPr>
              <w:t>9</w:t>
            </w:r>
          </w:p>
        </w:tc>
      </w:tr>
      <w:tr w:rsidR="00BD10FD" w:rsidRPr="00A66F1E" w:rsidTr="0022590D">
        <w:trPr>
          <w:trHeight w:val="1225"/>
        </w:trPr>
        <w:tc>
          <w:tcPr>
            <w:tcW w:w="2552" w:type="dxa"/>
            <w:vAlign w:val="center"/>
          </w:tcPr>
          <w:p w:rsidR="00BD10FD" w:rsidRPr="0022590D" w:rsidRDefault="00BD10FD" w:rsidP="0022590D">
            <w:pPr>
              <w:pStyle w:val="Default"/>
              <w:spacing w:line="276" w:lineRule="auto"/>
              <w:jc w:val="center"/>
              <w:rPr>
                <w:rFonts w:ascii="Arial" w:hAnsi="Arial" w:cs="Arial"/>
                <w:sz w:val="18"/>
                <w:szCs w:val="18"/>
                <w:lang w:val="en-GB" w:eastAsia="ru-RU"/>
              </w:rPr>
            </w:pPr>
            <w:r w:rsidRPr="0022590D">
              <w:rPr>
                <w:rFonts w:ascii="Arial" w:hAnsi="Arial" w:cs="Arial"/>
                <w:sz w:val="18"/>
                <w:szCs w:val="18"/>
                <w:lang w:val="en-GB" w:eastAsia="ru-RU"/>
              </w:rPr>
              <w:t>Products of inorganic chemistry; compounds of rare-earth metals, radioactive elements and isotopes</w:t>
            </w:r>
          </w:p>
        </w:tc>
        <w:tc>
          <w:tcPr>
            <w:tcW w:w="936" w:type="dxa"/>
            <w:vAlign w:val="center"/>
          </w:tcPr>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59</w:t>
            </w:r>
          </w:p>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tc>
        <w:tc>
          <w:tcPr>
            <w:tcW w:w="869" w:type="dxa"/>
            <w:tcBorders>
              <w:right w:val="single" w:sz="4" w:space="0" w:color="auto"/>
            </w:tcBorders>
            <w:vAlign w:val="center"/>
          </w:tcPr>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1</w:t>
            </w:r>
          </w:p>
        </w:tc>
        <w:tc>
          <w:tcPr>
            <w:tcW w:w="869" w:type="dxa"/>
            <w:tcBorders>
              <w:left w:val="single" w:sz="4" w:space="0" w:color="auto"/>
            </w:tcBorders>
            <w:vAlign w:val="center"/>
          </w:tcPr>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126</w:t>
            </w:r>
          </w:p>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tc>
        <w:tc>
          <w:tcPr>
            <w:tcW w:w="869" w:type="dxa"/>
            <w:vAlign w:val="center"/>
          </w:tcPr>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4</w:t>
            </w:r>
          </w:p>
        </w:tc>
        <w:tc>
          <w:tcPr>
            <w:tcW w:w="869"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846</w:t>
            </w:r>
          </w:p>
        </w:tc>
        <w:tc>
          <w:tcPr>
            <w:tcW w:w="725"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BD10FD" w:rsidRPr="00A66F1E">
              <w:rPr>
                <w:rFonts w:ascii="Arial" w:hAnsi="Arial" w:cs="Arial"/>
                <w:sz w:val="18"/>
                <w:szCs w:val="18"/>
                <w:lang w:val="en-GB" w:eastAsia="ru-RU"/>
              </w:rPr>
              <w:t>0</w:t>
            </w:r>
          </w:p>
        </w:tc>
        <w:tc>
          <w:tcPr>
            <w:tcW w:w="1014" w:type="dxa"/>
            <w:vAlign w:val="center"/>
          </w:tcPr>
          <w:p w:rsidR="00BD10FD" w:rsidRPr="00A66F1E" w:rsidRDefault="00BD10FD" w:rsidP="0022590D">
            <w:pPr>
              <w:pStyle w:val="Default"/>
              <w:spacing w:line="360" w:lineRule="auto"/>
              <w:jc w:val="center"/>
              <w:rPr>
                <w:rFonts w:ascii="Arial" w:hAnsi="Arial" w:cs="Arial"/>
                <w:color w:val="auto"/>
                <w:sz w:val="18"/>
                <w:szCs w:val="18"/>
                <w:lang w:val="en-GB" w:eastAsia="ru-RU"/>
              </w:rPr>
            </w:pPr>
          </w:p>
          <w:p w:rsidR="00BD10FD" w:rsidRPr="00A66F1E" w:rsidRDefault="0022590D" w:rsidP="0022590D">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1991</w:t>
            </w:r>
          </w:p>
        </w:tc>
        <w:tc>
          <w:tcPr>
            <w:tcW w:w="580"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64777E" w:rsidP="001834D3">
            <w:pPr>
              <w:spacing w:line="360" w:lineRule="auto"/>
              <w:rPr>
                <w:sz w:val="18"/>
                <w:szCs w:val="18"/>
                <w:lang w:val="en-GB" w:eastAsia="ru-RU"/>
              </w:rPr>
            </w:pPr>
            <w:r w:rsidRPr="00A66F1E">
              <w:rPr>
                <w:sz w:val="18"/>
                <w:szCs w:val="18"/>
                <w:lang w:val="en-GB" w:eastAsia="ru-RU"/>
              </w:rPr>
              <w:t>2.</w:t>
            </w:r>
            <w:r w:rsidR="00BD10FD" w:rsidRPr="00A66F1E">
              <w:rPr>
                <w:sz w:val="18"/>
                <w:szCs w:val="18"/>
                <w:lang w:val="en-GB" w:eastAsia="ru-RU"/>
              </w:rPr>
              <w:t>8</w:t>
            </w:r>
          </w:p>
        </w:tc>
        <w:tc>
          <w:tcPr>
            <w:tcW w:w="1159"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2142</w:t>
            </w:r>
          </w:p>
        </w:tc>
        <w:tc>
          <w:tcPr>
            <w:tcW w:w="725"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w:t>
            </w:r>
            <w:r w:rsidR="00BD10FD" w:rsidRPr="00A66F1E">
              <w:rPr>
                <w:rFonts w:ascii="Arial" w:hAnsi="Arial" w:cs="Arial"/>
                <w:sz w:val="18"/>
                <w:szCs w:val="18"/>
                <w:lang w:val="en-GB" w:eastAsia="ru-RU"/>
              </w:rPr>
              <w:t>9</w:t>
            </w:r>
          </w:p>
        </w:tc>
        <w:tc>
          <w:tcPr>
            <w:tcW w:w="1014"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2593</w:t>
            </w:r>
          </w:p>
        </w:tc>
        <w:tc>
          <w:tcPr>
            <w:tcW w:w="1014"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w:t>
            </w:r>
            <w:r w:rsidR="00BD10FD" w:rsidRPr="00A66F1E">
              <w:rPr>
                <w:rFonts w:ascii="Arial" w:hAnsi="Arial" w:cs="Arial"/>
                <w:sz w:val="18"/>
                <w:szCs w:val="18"/>
                <w:lang w:val="en-GB" w:eastAsia="ru-RU"/>
              </w:rPr>
              <w:t>3</w:t>
            </w:r>
          </w:p>
        </w:tc>
        <w:tc>
          <w:tcPr>
            <w:tcW w:w="1015"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2412</w:t>
            </w:r>
          </w:p>
        </w:tc>
        <w:tc>
          <w:tcPr>
            <w:tcW w:w="1005"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p>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w:t>
            </w:r>
            <w:r w:rsidR="00BD10FD" w:rsidRPr="00A66F1E">
              <w:rPr>
                <w:rFonts w:ascii="Arial" w:hAnsi="Arial" w:cs="Arial"/>
                <w:sz w:val="18"/>
                <w:szCs w:val="18"/>
                <w:lang w:val="en-GB" w:eastAsia="ru-RU"/>
              </w:rPr>
              <w:t>7</w:t>
            </w:r>
          </w:p>
        </w:tc>
      </w:tr>
      <w:tr w:rsidR="00BD10FD" w:rsidRPr="00A66F1E" w:rsidTr="0022590D">
        <w:trPr>
          <w:trHeight w:val="638"/>
        </w:trPr>
        <w:tc>
          <w:tcPr>
            <w:tcW w:w="2552" w:type="dxa"/>
            <w:vAlign w:val="center"/>
          </w:tcPr>
          <w:p w:rsidR="00BD10FD" w:rsidRPr="0022590D" w:rsidRDefault="00BD10FD" w:rsidP="0022590D">
            <w:pPr>
              <w:jc w:val="center"/>
              <w:rPr>
                <w:sz w:val="18"/>
                <w:szCs w:val="18"/>
                <w:lang w:val="en-GB" w:eastAsia="ru-RU"/>
              </w:rPr>
            </w:pPr>
            <w:r w:rsidRPr="0022590D">
              <w:rPr>
                <w:sz w:val="18"/>
                <w:szCs w:val="18"/>
                <w:lang w:val="en-GB" w:eastAsia="ru-RU"/>
              </w:rPr>
              <w:t>Natural gas</w:t>
            </w:r>
          </w:p>
        </w:tc>
        <w:tc>
          <w:tcPr>
            <w:tcW w:w="936" w:type="dxa"/>
            <w:vAlign w:val="center"/>
          </w:tcPr>
          <w:p w:rsidR="00BD10FD" w:rsidRPr="00A66F1E" w:rsidRDefault="0022590D" w:rsidP="0022590D">
            <w:pPr>
              <w:pStyle w:val="Default"/>
              <w:spacing w:line="360" w:lineRule="auto"/>
              <w:jc w:val="center"/>
              <w:rPr>
                <w:rFonts w:ascii="Arial" w:eastAsia="Times New Roman" w:hAnsi="Arial" w:cs="Arial"/>
                <w:sz w:val="18"/>
                <w:szCs w:val="18"/>
                <w:lang w:val="en-GB" w:eastAsia="ru-RU"/>
              </w:rPr>
            </w:pPr>
            <w:r>
              <w:rPr>
                <w:rFonts w:ascii="Arial" w:hAnsi="Arial" w:cs="Arial"/>
                <w:sz w:val="18"/>
                <w:szCs w:val="18"/>
                <w:lang w:val="en-GB" w:eastAsia="ru-RU"/>
              </w:rPr>
              <w:t>20</w:t>
            </w:r>
          </w:p>
        </w:tc>
        <w:tc>
          <w:tcPr>
            <w:tcW w:w="869" w:type="dxa"/>
            <w:tcBorders>
              <w:right w:val="single" w:sz="4" w:space="0" w:color="auto"/>
            </w:tcBorders>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0.</w:t>
            </w:r>
            <w:r w:rsidR="00BD10FD" w:rsidRPr="00A66F1E">
              <w:rPr>
                <w:rFonts w:ascii="Arial" w:hAnsi="Arial" w:cs="Arial"/>
                <w:sz w:val="18"/>
                <w:szCs w:val="18"/>
                <w:lang w:val="en-GB" w:eastAsia="ru-RU"/>
              </w:rPr>
              <w:t>4</w:t>
            </w:r>
          </w:p>
        </w:tc>
        <w:tc>
          <w:tcPr>
            <w:tcW w:w="869" w:type="dxa"/>
            <w:tcBorders>
              <w:left w:val="single" w:sz="4" w:space="0" w:color="auto"/>
            </w:tcBorders>
            <w:vAlign w:val="center"/>
          </w:tcPr>
          <w:p w:rsidR="00BD10FD" w:rsidRPr="00A66F1E" w:rsidRDefault="0022590D" w:rsidP="0022590D">
            <w:pPr>
              <w:pStyle w:val="Default"/>
              <w:spacing w:line="360" w:lineRule="auto"/>
              <w:jc w:val="center"/>
              <w:rPr>
                <w:rFonts w:ascii="Arial" w:eastAsia="Times New Roman" w:hAnsi="Arial" w:cs="Arial"/>
                <w:sz w:val="18"/>
                <w:szCs w:val="18"/>
                <w:lang w:val="en-GB" w:eastAsia="ru-RU"/>
              </w:rPr>
            </w:pPr>
            <w:r>
              <w:rPr>
                <w:rFonts w:ascii="Arial" w:hAnsi="Arial" w:cs="Arial"/>
                <w:sz w:val="18"/>
                <w:szCs w:val="18"/>
                <w:lang w:val="en-GB" w:eastAsia="ru-RU"/>
              </w:rPr>
              <w:t>38</w:t>
            </w:r>
          </w:p>
        </w:tc>
        <w:tc>
          <w:tcPr>
            <w:tcW w:w="869" w:type="dxa"/>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0.</w:t>
            </w:r>
            <w:r w:rsidR="00BD10FD" w:rsidRPr="00A66F1E">
              <w:rPr>
                <w:rFonts w:ascii="Arial" w:hAnsi="Arial" w:cs="Arial"/>
                <w:sz w:val="18"/>
                <w:szCs w:val="18"/>
                <w:lang w:val="en-GB" w:eastAsia="ru-RU"/>
              </w:rPr>
              <w:t>4</w:t>
            </w:r>
          </w:p>
        </w:tc>
        <w:tc>
          <w:tcPr>
            <w:tcW w:w="86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410</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5</w:t>
            </w:r>
          </w:p>
        </w:tc>
        <w:tc>
          <w:tcPr>
            <w:tcW w:w="1014" w:type="dxa"/>
            <w:vAlign w:val="center"/>
          </w:tcPr>
          <w:p w:rsidR="00BD10FD" w:rsidRPr="00A66F1E" w:rsidRDefault="0022590D" w:rsidP="0022590D">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976</w:t>
            </w:r>
          </w:p>
        </w:tc>
        <w:tc>
          <w:tcPr>
            <w:tcW w:w="580"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4</w:t>
            </w:r>
          </w:p>
        </w:tc>
        <w:tc>
          <w:tcPr>
            <w:tcW w:w="115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1389</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BD10FD" w:rsidRPr="00A66F1E">
              <w:rPr>
                <w:rFonts w:ascii="Arial" w:hAnsi="Arial" w:cs="Arial"/>
                <w:sz w:val="18"/>
                <w:szCs w:val="18"/>
                <w:lang w:val="en-GB" w:eastAsia="ru-RU"/>
              </w:rPr>
              <w:t>2</w:t>
            </w:r>
          </w:p>
        </w:tc>
        <w:tc>
          <w:tcPr>
            <w:tcW w:w="1014"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746</w:t>
            </w:r>
          </w:p>
        </w:tc>
        <w:tc>
          <w:tcPr>
            <w:tcW w:w="1014"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2</w:t>
            </w:r>
          </w:p>
        </w:tc>
        <w:tc>
          <w:tcPr>
            <w:tcW w:w="1015"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2236</w:t>
            </w:r>
          </w:p>
        </w:tc>
        <w:tc>
          <w:tcPr>
            <w:tcW w:w="100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w:t>
            </w:r>
            <w:r w:rsidR="00BD10FD" w:rsidRPr="00A66F1E">
              <w:rPr>
                <w:rFonts w:ascii="Arial" w:hAnsi="Arial" w:cs="Arial"/>
                <w:sz w:val="18"/>
                <w:szCs w:val="18"/>
                <w:lang w:val="en-GB" w:eastAsia="ru-RU"/>
              </w:rPr>
              <w:t>5</w:t>
            </w:r>
          </w:p>
        </w:tc>
      </w:tr>
      <w:tr w:rsidR="00BD10FD" w:rsidRPr="00A66F1E" w:rsidTr="0022590D">
        <w:trPr>
          <w:trHeight w:val="667"/>
        </w:trPr>
        <w:tc>
          <w:tcPr>
            <w:tcW w:w="2552" w:type="dxa"/>
            <w:vAlign w:val="center"/>
          </w:tcPr>
          <w:p w:rsidR="00BD10FD" w:rsidRPr="0022590D" w:rsidRDefault="00BD10FD" w:rsidP="0022590D">
            <w:pPr>
              <w:pStyle w:val="Default"/>
              <w:spacing w:line="276" w:lineRule="auto"/>
              <w:jc w:val="center"/>
              <w:rPr>
                <w:rFonts w:ascii="Arial" w:hAnsi="Arial" w:cs="Arial"/>
                <w:sz w:val="18"/>
                <w:szCs w:val="18"/>
                <w:lang w:val="en-GB" w:eastAsia="ru-RU"/>
              </w:rPr>
            </w:pPr>
            <w:r w:rsidRPr="0022590D">
              <w:rPr>
                <w:rFonts w:ascii="Arial" w:hAnsi="Arial" w:cs="Arial"/>
                <w:sz w:val="18"/>
                <w:szCs w:val="18"/>
                <w:lang w:val="en-GB" w:eastAsia="ru-RU"/>
              </w:rPr>
              <w:t>Ore and ferrous concentrates</w:t>
            </w:r>
          </w:p>
        </w:tc>
        <w:tc>
          <w:tcPr>
            <w:tcW w:w="936" w:type="dxa"/>
            <w:vAlign w:val="center"/>
          </w:tcPr>
          <w:p w:rsidR="00BD10FD" w:rsidRPr="00A66F1E" w:rsidRDefault="0022590D" w:rsidP="0022590D">
            <w:pPr>
              <w:pStyle w:val="Default"/>
              <w:spacing w:line="360" w:lineRule="auto"/>
              <w:jc w:val="center"/>
              <w:rPr>
                <w:rFonts w:ascii="Arial" w:eastAsia="Times New Roman" w:hAnsi="Arial" w:cs="Arial"/>
                <w:sz w:val="18"/>
                <w:szCs w:val="18"/>
                <w:lang w:val="en-GB" w:eastAsia="ru-RU"/>
              </w:rPr>
            </w:pPr>
            <w:r>
              <w:rPr>
                <w:rFonts w:ascii="Arial" w:hAnsi="Arial" w:cs="Arial"/>
                <w:sz w:val="18"/>
                <w:szCs w:val="18"/>
                <w:lang w:val="en-GB" w:eastAsia="ru-RU"/>
              </w:rPr>
              <w:t>260</w:t>
            </w:r>
          </w:p>
        </w:tc>
        <w:tc>
          <w:tcPr>
            <w:tcW w:w="869" w:type="dxa"/>
            <w:tcBorders>
              <w:right w:val="single" w:sz="4" w:space="0" w:color="auto"/>
            </w:tcBorders>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4.</w:t>
            </w:r>
            <w:r w:rsidR="00BD10FD" w:rsidRPr="00A66F1E">
              <w:rPr>
                <w:rFonts w:ascii="Arial" w:hAnsi="Arial" w:cs="Arial"/>
                <w:sz w:val="18"/>
                <w:szCs w:val="18"/>
                <w:lang w:val="en-GB" w:eastAsia="ru-RU"/>
              </w:rPr>
              <w:t>9</w:t>
            </w:r>
          </w:p>
        </w:tc>
        <w:tc>
          <w:tcPr>
            <w:tcW w:w="869" w:type="dxa"/>
            <w:tcBorders>
              <w:left w:val="single" w:sz="4" w:space="0" w:color="auto"/>
            </w:tcBorders>
            <w:vAlign w:val="center"/>
          </w:tcPr>
          <w:p w:rsidR="00BD10FD" w:rsidRPr="00A66F1E" w:rsidRDefault="0022590D" w:rsidP="0022590D">
            <w:pPr>
              <w:pStyle w:val="Default"/>
              <w:spacing w:line="360" w:lineRule="auto"/>
              <w:jc w:val="center"/>
              <w:rPr>
                <w:rFonts w:ascii="Arial" w:eastAsia="Times New Roman" w:hAnsi="Arial" w:cs="Arial"/>
                <w:sz w:val="18"/>
                <w:szCs w:val="18"/>
                <w:lang w:val="en-GB" w:eastAsia="ru-RU"/>
              </w:rPr>
            </w:pPr>
            <w:r>
              <w:rPr>
                <w:rFonts w:ascii="Arial" w:hAnsi="Arial" w:cs="Arial"/>
                <w:sz w:val="18"/>
                <w:szCs w:val="18"/>
                <w:lang w:val="en-GB" w:eastAsia="ru-RU"/>
              </w:rPr>
              <w:t>513</w:t>
            </w:r>
          </w:p>
        </w:tc>
        <w:tc>
          <w:tcPr>
            <w:tcW w:w="869" w:type="dxa"/>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5.</w:t>
            </w:r>
            <w:r w:rsidR="00BD10FD" w:rsidRPr="00A66F1E">
              <w:rPr>
                <w:rFonts w:ascii="Arial" w:hAnsi="Arial" w:cs="Arial"/>
                <w:sz w:val="18"/>
                <w:szCs w:val="18"/>
                <w:lang w:val="en-GB" w:eastAsia="ru-RU"/>
              </w:rPr>
              <w:t>8</w:t>
            </w:r>
          </w:p>
        </w:tc>
        <w:tc>
          <w:tcPr>
            <w:tcW w:w="86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638</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w:t>
            </w:r>
            <w:r w:rsidR="00BD10FD" w:rsidRPr="00A66F1E">
              <w:rPr>
                <w:rFonts w:ascii="Arial" w:hAnsi="Arial" w:cs="Arial"/>
                <w:sz w:val="18"/>
                <w:szCs w:val="18"/>
                <w:lang w:val="en-GB" w:eastAsia="ru-RU"/>
              </w:rPr>
              <w:t>3</w:t>
            </w:r>
          </w:p>
        </w:tc>
        <w:tc>
          <w:tcPr>
            <w:tcW w:w="1014" w:type="dxa"/>
            <w:vAlign w:val="center"/>
          </w:tcPr>
          <w:p w:rsidR="00BD10FD" w:rsidRPr="00A66F1E" w:rsidRDefault="0022590D" w:rsidP="0022590D">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1228</w:t>
            </w:r>
          </w:p>
        </w:tc>
        <w:tc>
          <w:tcPr>
            <w:tcW w:w="580"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7</w:t>
            </w:r>
          </w:p>
        </w:tc>
        <w:tc>
          <w:tcPr>
            <w:tcW w:w="115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845</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9</w:t>
            </w:r>
          </w:p>
        </w:tc>
        <w:tc>
          <w:tcPr>
            <w:tcW w:w="1014"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1108</w:t>
            </w:r>
          </w:p>
        </w:tc>
        <w:tc>
          <w:tcPr>
            <w:tcW w:w="1014"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8</w:t>
            </w:r>
          </w:p>
        </w:tc>
        <w:tc>
          <w:tcPr>
            <w:tcW w:w="1015"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1235</w:t>
            </w:r>
          </w:p>
        </w:tc>
        <w:tc>
          <w:tcPr>
            <w:tcW w:w="100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4</w:t>
            </w:r>
          </w:p>
        </w:tc>
      </w:tr>
      <w:tr w:rsidR="00BD10FD" w:rsidRPr="00A66F1E" w:rsidTr="0022590D">
        <w:trPr>
          <w:trHeight w:val="745"/>
        </w:trPr>
        <w:tc>
          <w:tcPr>
            <w:tcW w:w="2552" w:type="dxa"/>
            <w:vAlign w:val="center"/>
          </w:tcPr>
          <w:p w:rsidR="00BD10FD" w:rsidRPr="0022590D" w:rsidRDefault="00BD10FD" w:rsidP="0022590D">
            <w:pPr>
              <w:pStyle w:val="Default"/>
              <w:spacing w:line="276" w:lineRule="auto"/>
              <w:jc w:val="center"/>
              <w:rPr>
                <w:rFonts w:ascii="Arial" w:hAnsi="Arial" w:cs="Arial"/>
                <w:sz w:val="18"/>
                <w:szCs w:val="18"/>
                <w:lang w:val="en-GB" w:eastAsia="ru-RU"/>
              </w:rPr>
            </w:pPr>
            <w:r w:rsidRPr="0022590D">
              <w:rPr>
                <w:rFonts w:ascii="Arial" w:hAnsi="Arial" w:cs="Arial"/>
                <w:sz w:val="18"/>
                <w:szCs w:val="18"/>
                <w:lang w:val="en-GB" w:eastAsia="ru-RU"/>
              </w:rPr>
              <w:t>Ferrous metal-roll; metal-roll from unalloyed and alloyed steel</w:t>
            </w:r>
          </w:p>
        </w:tc>
        <w:tc>
          <w:tcPr>
            <w:tcW w:w="936" w:type="dxa"/>
            <w:vAlign w:val="center"/>
          </w:tcPr>
          <w:p w:rsidR="00BD10FD" w:rsidRPr="0022590D"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475</w:t>
            </w:r>
          </w:p>
        </w:tc>
        <w:tc>
          <w:tcPr>
            <w:tcW w:w="869" w:type="dxa"/>
            <w:tcBorders>
              <w:right w:val="single" w:sz="4" w:space="0" w:color="auto"/>
            </w:tcBorders>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9</w:t>
            </w:r>
          </w:p>
        </w:tc>
        <w:tc>
          <w:tcPr>
            <w:tcW w:w="869" w:type="dxa"/>
            <w:tcBorders>
              <w:left w:val="single" w:sz="4" w:space="0" w:color="auto"/>
            </w:tcBorders>
            <w:vAlign w:val="center"/>
          </w:tcPr>
          <w:p w:rsidR="00BD10FD" w:rsidRPr="0022590D"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764</w:t>
            </w:r>
          </w:p>
        </w:tc>
        <w:tc>
          <w:tcPr>
            <w:tcW w:w="869" w:type="dxa"/>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8.</w:t>
            </w:r>
            <w:r w:rsidR="00BD10FD" w:rsidRPr="00A66F1E">
              <w:rPr>
                <w:rFonts w:ascii="Arial" w:hAnsi="Arial" w:cs="Arial"/>
                <w:sz w:val="18"/>
                <w:szCs w:val="18"/>
                <w:lang w:val="en-GB" w:eastAsia="ru-RU"/>
              </w:rPr>
              <w:t>7</w:t>
            </w:r>
          </w:p>
        </w:tc>
        <w:tc>
          <w:tcPr>
            <w:tcW w:w="86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901</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BD10FD" w:rsidRPr="00A66F1E">
              <w:rPr>
                <w:rFonts w:ascii="Arial" w:hAnsi="Arial" w:cs="Arial"/>
                <w:sz w:val="18"/>
                <w:szCs w:val="18"/>
                <w:lang w:val="en-GB" w:eastAsia="ru-RU"/>
              </w:rPr>
              <w:t>2</w:t>
            </w:r>
          </w:p>
        </w:tc>
        <w:tc>
          <w:tcPr>
            <w:tcW w:w="1014" w:type="dxa"/>
            <w:vAlign w:val="center"/>
          </w:tcPr>
          <w:p w:rsidR="00BD10FD" w:rsidRPr="00A66F1E" w:rsidRDefault="0022590D" w:rsidP="0022590D">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1985</w:t>
            </w:r>
          </w:p>
        </w:tc>
        <w:tc>
          <w:tcPr>
            <w:tcW w:w="580"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w:t>
            </w:r>
            <w:r w:rsidR="00BD10FD" w:rsidRPr="00A66F1E">
              <w:rPr>
                <w:rFonts w:ascii="Arial" w:hAnsi="Arial" w:cs="Arial"/>
                <w:sz w:val="18"/>
                <w:szCs w:val="18"/>
                <w:lang w:val="en-GB" w:eastAsia="ru-RU"/>
              </w:rPr>
              <w:t>8</w:t>
            </w:r>
          </w:p>
        </w:tc>
        <w:tc>
          <w:tcPr>
            <w:tcW w:w="115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1344</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BD10FD" w:rsidRPr="00A66F1E">
              <w:rPr>
                <w:rFonts w:ascii="Arial" w:hAnsi="Arial" w:cs="Arial"/>
                <w:sz w:val="18"/>
                <w:szCs w:val="18"/>
                <w:lang w:val="en-GB" w:eastAsia="ru-RU"/>
              </w:rPr>
              <w:t>1</w:t>
            </w:r>
          </w:p>
        </w:tc>
        <w:tc>
          <w:tcPr>
            <w:tcW w:w="1014"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1249</w:t>
            </w:r>
          </w:p>
        </w:tc>
        <w:tc>
          <w:tcPr>
            <w:tcW w:w="1014" w:type="dxa"/>
            <w:vAlign w:val="center"/>
          </w:tcPr>
          <w:p w:rsidR="00BD10FD" w:rsidRPr="00A66F1E" w:rsidRDefault="0064777E" w:rsidP="0022590D">
            <w:pPr>
              <w:spacing w:line="360" w:lineRule="auto"/>
              <w:jc w:val="center"/>
              <w:rPr>
                <w:sz w:val="18"/>
                <w:szCs w:val="18"/>
                <w:lang w:val="en-GB" w:eastAsia="ru-RU"/>
              </w:rPr>
            </w:pPr>
            <w:r w:rsidRPr="00A66F1E">
              <w:rPr>
                <w:sz w:val="18"/>
                <w:szCs w:val="18"/>
                <w:lang w:val="en-GB" w:eastAsia="ru-RU"/>
              </w:rPr>
              <w:t>2.</w:t>
            </w:r>
            <w:r w:rsidR="00BD10FD" w:rsidRPr="00A66F1E">
              <w:rPr>
                <w:sz w:val="18"/>
                <w:szCs w:val="18"/>
                <w:lang w:val="en-GB" w:eastAsia="ru-RU"/>
              </w:rPr>
              <w:t>1</w:t>
            </w:r>
          </w:p>
        </w:tc>
        <w:tc>
          <w:tcPr>
            <w:tcW w:w="1015"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1223</w:t>
            </w:r>
          </w:p>
        </w:tc>
        <w:tc>
          <w:tcPr>
            <w:tcW w:w="100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4</w:t>
            </w:r>
          </w:p>
        </w:tc>
      </w:tr>
      <w:tr w:rsidR="00BD10FD" w:rsidRPr="00A66F1E" w:rsidTr="0022590D">
        <w:trPr>
          <w:trHeight w:val="983"/>
        </w:trPr>
        <w:tc>
          <w:tcPr>
            <w:tcW w:w="2552" w:type="dxa"/>
            <w:vAlign w:val="center"/>
          </w:tcPr>
          <w:p w:rsidR="00BD10FD" w:rsidRPr="0022590D" w:rsidRDefault="00BD10FD" w:rsidP="0022590D">
            <w:pPr>
              <w:pStyle w:val="Default"/>
              <w:spacing w:line="276" w:lineRule="auto"/>
              <w:jc w:val="center"/>
              <w:rPr>
                <w:rFonts w:ascii="Arial" w:hAnsi="Arial" w:cs="Arial"/>
                <w:sz w:val="18"/>
                <w:szCs w:val="18"/>
                <w:lang w:val="en-GB" w:eastAsia="ru-RU"/>
              </w:rPr>
            </w:pPr>
            <w:r w:rsidRPr="0022590D">
              <w:rPr>
                <w:rFonts w:ascii="Arial" w:hAnsi="Arial" w:cs="Arial"/>
                <w:sz w:val="18"/>
                <w:szCs w:val="18"/>
                <w:lang w:val="en-GB" w:eastAsia="ru-RU"/>
              </w:rPr>
              <w:t>Manufactured gold products; semi-manufactured gold in the form of powder</w:t>
            </w:r>
          </w:p>
        </w:tc>
        <w:tc>
          <w:tcPr>
            <w:tcW w:w="936" w:type="dxa"/>
            <w:vAlign w:val="center"/>
          </w:tcPr>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p w:rsidR="00BD10FD" w:rsidRPr="00A66F1E" w:rsidRDefault="00BD10FD"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N/A</w:t>
            </w:r>
          </w:p>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tc>
        <w:tc>
          <w:tcPr>
            <w:tcW w:w="869" w:type="dxa"/>
            <w:tcBorders>
              <w:right w:val="single" w:sz="4" w:space="0" w:color="auto"/>
            </w:tcBorders>
            <w:vAlign w:val="center"/>
          </w:tcPr>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N/A</w:t>
            </w:r>
          </w:p>
        </w:tc>
        <w:tc>
          <w:tcPr>
            <w:tcW w:w="869" w:type="dxa"/>
            <w:tcBorders>
              <w:left w:val="single" w:sz="4" w:space="0" w:color="auto"/>
            </w:tcBorders>
            <w:vAlign w:val="center"/>
          </w:tcPr>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189</w:t>
            </w:r>
          </w:p>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tc>
        <w:tc>
          <w:tcPr>
            <w:tcW w:w="869" w:type="dxa"/>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2.</w:t>
            </w:r>
            <w:r w:rsidR="00BD10FD" w:rsidRPr="00A66F1E">
              <w:rPr>
                <w:rFonts w:ascii="Arial" w:hAnsi="Arial" w:cs="Arial"/>
                <w:sz w:val="18"/>
                <w:szCs w:val="18"/>
                <w:lang w:val="en-GB" w:eastAsia="ru-RU"/>
              </w:rPr>
              <w:t>1</w:t>
            </w:r>
          </w:p>
        </w:tc>
        <w:tc>
          <w:tcPr>
            <w:tcW w:w="86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200</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w:t>
            </w:r>
            <w:r w:rsidR="00BD10FD" w:rsidRPr="00A66F1E">
              <w:rPr>
                <w:rFonts w:ascii="Arial" w:hAnsi="Arial" w:cs="Arial"/>
                <w:sz w:val="18"/>
                <w:szCs w:val="18"/>
                <w:lang w:val="en-GB" w:eastAsia="ru-RU"/>
              </w:rPr>
              <w:t>7</w:t>
            </w:r>
          </w:p>
        </w:tc>
        <w:tc>
          <w:tcPr>
            <w:tcW w:w="1014" w:type="dxa"/>
            <w:vAlign w:val="center"/>
          </w:tcPr>
          <w:p w:rsidR="00BD10FD" w:rsidRPr="00A66F1E" w:rsidRDefault="0022590D" w:rsidP="0022590D">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rPr>
              <w:t>506</w:t>
            </w:r>
          </w:p>
        </w:tc>
        <w:tc>
          <w:tcPr>
            <w:tcW w:w="580"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w:t>
            </w:r>
            <w:r w:rsidR="00BD10FD" w:rsidRPr="00A66F1E">
              <w:rPr>
                <w:rFonts w:ascii="Arial" w:hAnsi="Arial" w:cs="Arial"/>
                <w:sz w:val="18"/>
                <w:szCs w:val="18"/>
                <w:lang w:val="en-GB" w:eastAsia="ru-RU"/>
              </w:rPr>
              <w:t>7</w:t>
            </w:r>
          </w:p>
        </w:tc>
        <w:tc>
          <w:tcPr>
            <w:tcW w:w="115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653</w:t>
            </w:r>
          </w:p>
        </w:tc>
        <w:tc>
          <w:tcPr>
            <w:tcW w:w="725" w:type="dxa"/>
            <w:vAlign w:val="center"/>
          </w:tcPr>
          <w:p w:rsidR="00BD10FD" w:rsidRPr="00A66F1E" w:rsidRDefault="0064777E" w:rsidP="0022590D">
            <w:pPr>
              <w:pStyle w:val="Default"/>
              <w:spacing w:line="360" w:lineRule="auto"/>
              <w:jc w:val="center"/>
              <w:rPr>
                <w:rFonts w:ascii="Arial" w:hAnsi="Arial" w:cs="Arial"/>
                <w:color w:val="auto"/>
                <w:sz w:val="18"/>
                <w:szCs w:val="18"/>
                <w:lang w:val="en-GB"/>
              </w:rPr>
            </w:pPr>
            <w:r w:rsidRPr="00A66F1E">
              <w:rPr>
                <w:rFonts w:ascii="Arial" w:hAnsi="Arial" w:cs="Arial"/>
                <w:color w:val="auto"/>
                <w:sz w:val="18"/>
                <w:szCs w:val="18"/>
                <w:lang w:val="en-GB"/>
              </w:rPr>
              <w:t>1.</w:t>
            </w:r>
            <w:r w:rsidR="00BD10FD" w:rsidRPr="00A66F1E">
              <w:rPr>
                <w:rFonts w:ascii="Arial" w:hAnsi="Arial" w:cs="Arial"/>
                <w:color w:val="auto"/>
                <w:sz w:val="18"/>
                <w:szCs w:val="18"/>
                <w:lang w:val="en-GB"/>
              </w:rPr>
              <w:t>5</w:t>
            </w:r>
          </w:p>
        </w:tc>
        <w:tc>
          <w:tcPr>
            <w:tcW w:w="1014" w:type="dxa"/>
            <w:vAlign w:val="center"/>
          </w:tcPr>
          <w:p w:rsidR="00BD10FD" w:rsidRPr="00A66F1E" w:rsidRDefault="0022590D" w:rsidP="0022590D">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rPr>
              <w:t>865</w:t>
            </w:r>
          </w:p>
        </w:tc>
        <w:tc>
          <w:tcPr>
            <w:tcW w:w="1014"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4</w:t>
            </w:r>
          </w:p>
        </w:tc>
        <w:tc>
          <w:tcPr>
            <w:tcW w:w="1015"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984</w:t>
            </w:r>
          </w:p>
        </w:tc>
        <w:tc>
          <w:tcPr>
            <w:tcW w:w="100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1</w:t>
            </w:r>
          </w:p>
        </w:tc>
      </w:tr>
      <w:tr w:rsidR="00BD10FD" w:rsidRPr="00A66F1E" w:rsidTr="0022590D">
        <w:trPr>
          <w:trHeight w:val="692"/>
        </w:trPr>
        <w:tc>
          <w:tcPr>
            <w:tcW w:w="2552" w:type="dxa"/>
            <w:vAlign w:val="center"/>
          </w:tcPr>
          <w:p w:rsidR="00BD10FD" w:rsidRPr="0022590D" w:rsidRDefault="00BD10FD" w:rsidP="0022590D">
            <w:pPr>
              <w:pStyle w:val="Default"/>
              <w:spacing w:line="276" w:lineRule="auto"/>
              <w:jc w:val="center"/>
              <w:rPr>
                <w:rFonts w:ascii="Arial" w:hAnsi="Arial" w:cs="Arial"/>
                <w:sz w:val="18"/>
                <w:szCs w:val="18"/>
                <w:lang w:val="en-GB" w:eastAsia="ru-RU"/>
              </w:rPr>
            </w:pPr>
            <w:r w:rsidRPr="0022590D">
              <w:rPr>
                <w:rFonts w:ascii="Arial" w:hAnsi="Arial" w:cs="Arial"/>
                <w:sz w:val="18"/>
                <w:szCs w:val="18"/>
                <w:lang w:val="en-GB" w:eastAsia="ru-RU"/>
              </w:rPr>
              <w:t xml:space="preserve">Wheat and </w:t>
            </w:r>
            <w:r w:rsidR="00B60526" w:rsidRPr="0022590D">
              <w:rPr>
                <w:rFonts w:ascii="Arial" w:hAnsi="Arial" w:cs="Arial"/>
                <w:sz w:val="18"/>
                <w:szCs w:val="18"/>
                <w:lang w:val="en-GB" w:eastAsia="ru-RU"/>
              </w:rPr>
              <w:t xml:space="preserve">wheat/rye </w:t>
            </w:r>
            <w:r w:rsidRPr="0022590D">
              <w:rPr>
                <w:rFonts w:ascii="Arial" w:hAnsi="Arial" w:cs="Arial"/>
                <w:sz w:val="18"/>
                <w:szCs w:val="18"/>
                <w:lang w:val="en-GB" w:eastAsia="ru-RU"/>
              </w:rPr>
              <w:t>mixture</w:t>
            </w:r>
          </w:p>
        </w:tc>
        <w:tc>
          <w:tcPr>
            <w:tcW w:w="936" w:type="dxa"/>
            <w:vAlign w:val="center"/>
          </w:tcPr>
          <w:p w:rsidR="00A1563E" w:rsidRPr="00A66F1E" w:rsidRDefault="00A1563E" w:rsidP="0022590D">
            <w:pPr>
              <w:pStyle w:val="Default"/>
              <w:spacing w:line="360" w:lineRule="auto"/>
              <w:jc w:val="center"/>
              <w:rPr>
                <w:rFonts w:ascii="Arial" w:hAnsi="Arial" w:cs="Arial"/>
                <w:sz w:val="18"/>
                <w:szCs w:val="18"/>
                <w:lang w:val="en-GB" w:eastAsia="ru-RU"/>
              </w:rPr>
            </w:pPr>
          </w:p>
          <w:p w:rsidR="00BD10FD" w:rsidRPr="00A66F1E" w:rsidRDefault="0022590D" w:rsidP="0022590D">
            <w:pPr>
              <w:pStyle w:val="Default"/>
              <w:spacing w:line="360" w:lineRule="auto"/>
              <w:jc w:val="center"/>
              <w:rPr>
                <w:rFonts w:ascii="Arial" w:eastAsia="Times New Roman" w:hAnsi="Arial" w:cs="Arial"/>
                <w:sz w:val="18"/>
                <w:szCs w:val="18"/>
                <w:lang w:val="en-GB" w:eastAsia="ru-RU"/>
              </w:rPr>
            </w:pPr>
            <w:r>
              <w:rPr>
                <w:rFonts w:ascii="Arial" w:hAnsi="Arial" w:cs="Arial"/>
                <w:sz w:val="18"/>
                <w:szCs w:val="18"/>
                <w:lang w:val="en-GB" w:eastAsia="ru-RU"/>
              </w:rPr>
              <w:t>229</w:t>
            </w:r>
          </w:p>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tc>
        <w:tc>
          <w:tcPr>
            <w:tcW w:w="869" w:type="dxa"/>
            <w:tcBorders>
              <w:right w:val="single" w:sz="4" w:space="0" w:color="auto"/>
            </w:tcBorders>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4.</w:t>
            </w:r>
            <w:r w:rsidR="00BD10FD" w:rsidRPr="00A66F1E">
              <w:rPr>
                <w:rFonts w:ascii="Arial" w:hAnsi="Arial" w:cs="Arial"/>
                <w:sz w:val="18"/>
                <w:szCs w:val="18"/>
                <w:lang w:val="en-GB" w:eastAsia="ru-RU"/>
              </w:rPr>
              <w:t>4</w:t>
            </w:r>
          </w:p>
        </w:tc>
        <w:tc>
          <w:tcPr>
            <w:tcW w:w="869" w:type="dxa"/>
            <w:tcBorders>
              <w:left w:val="single" w:sz="4" w:space="0" w:color="auto"/>
            </w:tcBorders>
            <w:vAlign w:val="center"/>
          </w:tcPr>
          <w:p w:rsidR="00A1563E" w:rsidRPr="00A66F1E" w:rsidRDefault="00A1563E" w:rsidP="0022590D">
            <w:pPr>
              <w:pStyle w:val="Default"/>
              <w:spacing w:line="360" w:lineRule="auto"/>
              <w:jc w:val="center"/>
              <w:rPr>
                <w:rFonts w:ascii="Arial" w:hAnsi="Arial" w:cs="Arial"/>
                <w:sz w:val="18"/>
                <w:szCs w:val="18"/>
                <w:lang w:val="en-GB" w:eastAsia="ru-RU"/>
              </w:rPr>
            </w:pPr>
          </w:p>
          <w:p w:rsidR="00BD10FD" w:rsidRPr="00A66F1E" w:rsidRDefault="0022590D" w:rsidP="0022590D">
            <w:pPr>
              <w:pStyle w:val="Default"/>
              <w:spacing w:line="360" w:lineRule="auto"/>
              <w:jc w:val="center"/>
              <w:rPr>
                <w:rFonts w:ascii="Arial" w:eastAsia="Times New Roman" w:hAnsi="Arial" w:cs="Arial"/>
                <w:sz w:val="18"/>
                <w:szCs w:val="18"/>
                <w:lang w:val="en-GB" w:eastAsia="ru-RU"/>
              </w:rPr>
            </w:pPr>
            <w:r>
              <w:rPr>
                <w:rFonts w:ascii="Arial" w:hAnsi="Arial" w:cs="Arial"/>
                <w:sz w:val="18"/>
                <w:szCs w:val="18"/>
                <w:lang w:val="en-GB" w:eastAsia="ru-RU"/>
              </w:rPr>
              <w:t>454</w:t>
            </w:r>
          </w:p>
          <w:p w:rsidR="00BD10FD" w:rsidRPr="00A66F1E" w:rsidRDefault="00BD10FD" w:rsidP="0022590D">
            <w:pPr>
              <w:pStyle w:val="Default"/>
              <w:spacing w:line="360" w:lineRule="auto"/>
              <w:jc w:val="center"/>
              <w:rPr>
                <w:rFonts w:ascii="Arial" w:eastAsia="Times New Roman" w:hAnsi="Arial" w:cs="Arial"/>
                <w:sz w:val="18"/>
                <w:szCs w:val="18"/>
                <w:lang w:val="en-GB" w:eastAsia="ru-RU"/>
              </w:rPr>
            </w:pPr>
          </w:p>
        </w:tc>
        <w:tc>
          <w:tcPr>
            <w:tcW w:w="869" w:type="dxa"/>
            <w:vAlign w:val="center"/>
          </w:tcPr>
          <w:p w:rsidR="00BD10FD" w:rsidRPr="00A66F1E" w:rsidRDefault="0064777E" w:rsidP="0022590D">
            <w:pPr>
              <w:pStyle w:val="Default"/>
              <w:spacing w:line="360" w:lineRule="auto"/>
              <w:jc w:val="center"/>
              <w:rPr>
                <w:rFonts w:ascii="Arial" w:eastAsia="Times New Roman" w:hAnsi="Arial" w:cs="Arial"/>
                <w:sz w:val="18"/>
                <w:szCs w:val="18"/>
                <w:lang w:val="en-GB" w:eastAsia="ru-RU"/>
              </w:rPr>
            </w:pPr>
            <w:r w:rsidRPr="00A66F1E">
              <w:rPr>
                <w:rFonts w:ascii="Arial" w:hAnsi="Arial" w:cs="Arial"/>
                <w:sz w:val="18"/>
                <w:szCs w:val="18"/>
                <w:lang w:val="en-GB" w:eastAsia="ru-RU"/>
              </w:rPr>
              <w:t>5.</w:t>
            </w:r>
            <w:r w:rsidR="00BD10FD" w:rsidRPr="00A66F1E">
              <w:rPr>
                <w:rFonts w:ascii="Arial" w:hAnsi="Arial" w:cs="Arial"/>
                <w:sz w:val="18"/>
                <w:szCs w:val="18"/>
                <w:lang w:val="en-GB" w:eastAsia="ru-RU"/>
              </w:rPr>
              <w:t>1</w:t>
            </w:r>
          </w:p>
        </w:tc>
        <w:tc>
          <w:tcPr>
            <w:tcW w:w="86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220</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w:t>
            </w:r>
            <w:r w:rsidR="00BD10FD" w:rsidRPr="00A66F1E">
              <w:rPr>
                <w:rFonts w:ascii="Arial" w:hAnsi="Arial" w:cs="Arial"/>
                <w:sz w:val="18"/>
                <w:szCs w:val="18"/>
                <w:lang w:val="en-GB" w:eastAsia="ru-RU"/>
              </w:rPr>
              <w:t>8</w:t>
            </w:r>
          </w:p>
        </w:tc>
        <w:tc>
          <w:tcPr>
            <w:tcW w:w="1014" w:type="dxa"/>
            <w:vAlign w:val="center"/>
          </w:tcPr>
          <w:p w:rsidR="00BD10FD" w:rsidRPr="00A66F1E" w:rsidRDefault="0022590D" w:rsidP="0022590D">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1358</w:t>
            </w:r>
          </w:p>
        </w:tc>
        <w:tc>
          <w:tcPr>
            <w:tcW w:w="580"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9</w:t>
            </w:r>
          </w:p>
        </w:tc>
        <w:tc>
          <w:tcPr>
            <w:tcW w:w="1159"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560</w:t>
            </w:r>
          </w:p>
        </w:tc>
        <w:tc>
          <w:tcPr>
            <w:tcW w:w="72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3</w:t>
            </w:r>
          </w:p>
        </w:tc>
        <w:tc>
          <w:tcPr>
            <w:tcW w:w="1014" w:type="dxa"/>
            <w:vAlign w:val="center"/>
          </w:tcPr>
          <w:p w:rsidR="00BD10FD" w:rsidRPr="00A66F1E" w:rsidRDefault="00BD10FD"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911</w:t>
            </w:r>
          </w:p>
        </w:tc>
        <w:tc>
          <w:tcPr>
            <w:tcW w:w="1014"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w:t>
            </w:r>
            <w:r w:rsidR="00BD10FD" w:rsidRPr="00A66F1E">
              <w:rPr>
                <w:rFonts w:ascii="Arial" w:hAnsi="Arial" w:cs="Arial"/>
                <w:sz w:val="18"/>
                <w:szCs w:val="18"/>
                <w:lang w:val="en-GB" w:eastAsia="ru-RU"/>
              </w:rPr>
              <w:t>5</w:t>
            </w:r>
          </w:p>
        </w:tc>
        <w:tc>
          <w:tcPr>
            <w:tcW w:w="1015" w:type="dxa"/>
            <w:vAlign w:val="center"/>
          </w:tcPr>
          <w:p w:rsidR="00BD10FD" w:rsidRPr="00A66F1E" w:rsidRDefault="0022590D" w:rsidP="0022590D">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579</w:t>
            </w:r>
          </w:p>
        </w:tc>
        <w:tc>
          <w:tcPr>
            <w:tcW w:w="1005" w:type="dxa"/>
            <w:vAlign w:val="center"/>
          </w:tcPr>
          <w:p w:rsidR="00BD10FD" w:rsidRPr="00A66F1E" w:rsidRDefault="0064777E" w:rsidP="0022590D">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w:t>
            </w:r>
            <w:r w:rsidR="00BD10FD" w:rsidRPr="00A66F1E">
              <w:rPr>
                <w:rFonts w:ascii="Arial" w:hAnsi="Arial" w:cs="Arial"/>
                <w:sz w:val="18"/>
                <w:szCs w:val="18"/>
                <w:lang w:val="en-GB" w:eastAsia="ru-RU"/>
              </w:rPr>
              <w:t>6</w:t>
            </w:r>
          </w:p>
        </w:tc>
      </w:tr>
    </w:tbl>
    <w:p w:rsidR="00E332CF" w:rsidRPr="00A66F1E" w:rsidRDefault="00E332CF" w:rsidP="00A66F1E">
      <w:pPr>
        <w:pStyle w:val="Default"/>
        <w:spacing w:line="360" w:lineRule="auto"/>
        <w:ind w:left="720"/>
        <w:rPr>
          <w:rFonts w:ascii="Arial" w:hAnsi="Arial" w:cs="Arial"/>
          <w:b/>
          <w:sz w:val="22"/>
          <w:szCs w:val="22"/>
          <w:lang w:val="en-GB"/>
        </w:rPr>
      </w:pPr>
    </w:p>
    <w:p w:rsidR="00E332CF" w:rsidRPr="00A66F1E" w:rsidRDefault="00042A7E" w:rsidP="00A66F1E">
      <w:pPr>
        <w:pStyle w:val="Default"/>
        <w:pBdr>
          <w:bottom w:val="single" w:sz="4" w:space="1" w:color="auto"/>
        </w:pBdr>
        <w:spacing w:line="360" w:lineRule="auto"/>
        <w:rPr>
          <w:rFonts w:ascii="Arial" w:hAnsi="Arial" w:cs="Arial"/>
          <w:b/>
          <w:szCs w:val="22"/>
          <w:lang w:val="en-GB"/>
        </w:rPr>
      </w:pPr>
      <w:r w:rsidRPr="00A66F1E">
        <w:rPr>
          <w:rFonts w:ascii="Arial" w:hAnsi="Arial" w:cs="Arial"/>
          <w:b/>
          <w:szCs w:val="22"/>
          <w:lang w:val="en-GB"/>
        </w:rPr>
        <w:lastRenderedPageBreak/>
        <w:t>Kyrgyzstan</w:t>
      </w:r>
      <w:r>
        <w:rPr>
          <w:rFonts w:ascii="Arial" w:hAnsi="Arial" w:cs="Arial"/>
          <w:b/>
          <w:szCs w:val="22"/>
          <w:lang w:val="en-GB"/>
        </w:rPr>
        <w:t xml:space="preserve">: </w:t>
      </w:r>
      <w:r w:rsidR="00A66F1E">
        <w:rPr>
          <w:rFonts w:ascii="Arial" w:hAnsi="Arial" w:cs="Arial"/>
          <w:b/>
          <w:szCs w:val="22"/>
          <w:lang w:val="en-GB"/>
        </w:rPr>
        <w:t>Eight</w:t>
      </w:r>
      <w:r w:rsidR="005B20D5" w:rsidRPr="00A66F1E">
        <w:rPr>
          <w:rFonts w:ascii="Arial" w:hAnsi="Arial" w:cs="Arial"/>
          <w:b/>
          <w:szCs w:val="22"/>
          <w:lang w:val="en-GB"/>
        </w:rPr>
        <w:t xml:space="preserve"> </w:t>
      </w:r>
      <w:r w:rsidR="00357567">
        <w:rPr>
          <w:rFonts w:ascii="Arial" w:hAnsi="Arial" w:cs="Arial"/>
          <w:b/>
          <w:szCs w:val="22"/>
          <w:lang w:val="en-GB"/>
        </w:rPr>
        <w:t>major</w:t>
      </w:r>
      <w:r w:rsidR="00357567" w:rsidRPr="00A66F1E">
        <w:rPr>
          <w:rFonts w:ascii="Arial" w:hAnsi="Arial" w:cs="Arial"/>
          <w:b/>
          <w:szCs w:val="22"/>
          <w:lang w:val="en-GB"/>
        </w:rPr>
        <w:t xml:space="preserve"> </w:t>
      </w:r>
      <w:r w:rsidR="003271E0" w:rsidRPr="00A66F1E">
        <w:rPr>
          <w:rFonts w:ascii="Arial" w:hAnsi="Arial" w:cs="Arial"/>
          <w:b/>
          <w:szCs w:val="22"/>
          <w:lang w:val="en-GB"/>
        </w:rPr>
        <w:t>export i</w:t>
      </w:r>
      <w:r w:rsidR="00E332CF" w:rsidRPr="00A66F1E">
        <w:rPr>
          <w:rFonts w:ascii="Arial" w:hAnsi="Arial" w:cs="Arial"/>
          <w:b/>
          <w:szCs w:val="22"/>
          <w:lang w:val="en-GB"/>
        </w:rPr>
        <w:t>tems (</w:t>
      </w:r>
      <w:r w:rsidR="00825F0A">
        <w:rPr>
          <w:rFonts w:ascii="Arial" w:hAnsi="Arial" w:cs="Arial"/>
          <w:b/>
          <w:szCs w:val="22"/>
          <w:lang w:val="en-GB"/>
        </w:rPr>
        <w:t>USD</w:t>
      </w:r>
      <w:r w:rsidR="00E332CF" w:rsidRPr="00A66F1E">
        <w:rPr>
          <w:rFonts w:ascii="Arial" w:hAnsi="Arial" w:cs="Arial"/>
          <w:b/>
          <w:szCs w:val="22"/>
          <w:lang w:val="en-GB"/>
        </w:rPr>
        <w:t xml:space="preserve"> </w:t>
      </w:r>
      <w:r w:rsidR="00A66F1E">
        <w:rPr>
          <w:rFonts w:ascii="Arial" w:hAnsi="Arial" w:cs="Arial"/>
          <w:b/>
          <w:szCs w:val="22"/>
          <w:lang w:val="en-GB"/>
        </w:rPr>
        <w:t xml:space="preserve">mill. </w:t>
      </w:r>
      <w:r w:rsidR="00E332CF" w:rsidRPr="00A66F1E">
        <w:rPr>
          <w:rFonts w:ascii="Arial" w:hAnsi="Arial" w:cs="Arial"/>
          <w:b/>
          <w:szCs w:val="22"/>
          <w:lang w:val="en-GB"/>
        </w:rPr>
        <w:t>and as percentage of total exports)</w:t>
      </w:r>
    </w:p>
    <w:p w:rsidR="00FB07E3" w:rsidRPr="00A66F1E" w:rsidRDefault="00FB07E3" w:rsidP="00A66F1E">
      <w:pPr>
        <w:pStyle w:val="Default"/>
        <w:spacing w:line="360" w:lineRule="auto"/>
        <w:rPr>
          <w:rFonts w:ascii="Arial" w:hAnsi="Arial" w:cs="Arial"/>
          <w:b/>
          <w:szCs w:val="22"/>
          <w:lang w:val="en-GB"/>
        </w:rPr>
      </w:pPr>
    </w:p>
    <w:p w:rsidR="00E332CF" w:rsidRPr="00A66F1E" w:rsidRDefault="00E332CF" w:rsidP="00A66F1E">
      <w:pPr>
        <w:pStyle w:val="Default"/>
        <w:spacing w:line="360" w:lineRule="auto"/>
        <w:ind w:left="720"/>
        <w:rPr>
          <w:rFonts w:ascii="Arial" w:hAnsi="Arial" w:cs="Arial"/>
          <w:b/>
          <w:sz w:val="18"/>
          <w:szCs w:val="18"/>
          <w:lang w:val="en-GB"/>
        </w:rPr>
      </w:pPr>
    </w:p>
    <w:tbl>
      <w:tblPr>
        <w:tblW w:w="15173" w:type="dxa"/>
        <w:tblLayout w:type="fixed"/>
        <w:tblCellMar>
          <w:left w:w="0" w:type="dxa"/>
          <w:right w:w="0" w:type="dxa"/>
        </w:tblCellMar>
        <w:tblLook w:val="00A0" w:firstRow="1" w:lastRow="0" w:firstColumn="1" w:lastColumn="0" w:noHBand="0" w:noVBand="0"/>
      </w:tblPr>
      <w:tblGrid>
        <w:gridCol w:w="2574"/>
        <w:gridCol w:w="1005"/>
        <w:gridCol w:w="849"/>
        <w:gridCol w:w="855"/>
        <w:gridCol w:w="713"/>
        <w:gridCol w:w="855"/>
        <w:gridCol w:w="856"/>
        <w:gridCol w:w="998"/>
        <w:gridCol w:w="656"/>
        <w:gridCol w:w="1134"/>
        <w:gridCol w:w="709"/>
        <w:gridCol w:w="1134"/>
        <w:gridCol w:w="992"/>
        <w:gridCol w:w="850"/>
        <w:gridCol w:w="993"/>
      </w:tblGrid>
      <w:tr w:rsidR="00A1563E" w:rsidRPr="00A66F1E" w:rsidTr="00A1563E">
        <w:trPr>
          <w:trHeight w:val="335"/>
        </w:trPr>
        <w:tc>
          <w:tcPr>
            <w:tcW w:w="2574" w:type="dxa"/>
            <w:vMerge w:val="restart"/>
            <w:tcBorders>
              <w:top w:val="single" w:sz="4" w:space="0" w:color="auto"/>
              <w:left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eastAsia="ru-RU"/>
              </w:rPr>
            </w:pPr>
          </w:p>
        </w:tc>
        <w:tc>
          <w:tcPr>
            <w:tcW w:w="1854" w:type="dxa"/>
            <w:gridSpan w:val="2"/>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r w:rsidRPr="00A66F1E">
              <w:rPr>
                <w:b/>
                <w:sz w:val="20"/>
                <w:szCs w:val="20"/>
                <w:lang w:val="en-GB"/>
              </w:rPr>
              <w:t>1995</w:t>
            </w:r>
          </w:p>
        </w:tc>
        <w:tc>
          <w:tcPr>
            <w:tcW w:w="1568" w:type="dxa"/>
            <w:gridSpan w:val="2"/>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r w:rsidRPr="00A66F1E">
              <w:rPr>
                <w:b/>
                <w:sz w:val="20"/>
                <w:szCs w:val="20"/>
                <w:lang w:val="en-GB"/>
              </w:rPr>
              <w:t>2000</w:t>
            </w:r>
          </w:p>
        </w:tc>
        <w:tc>
          <w:tcPr>
            <w:tcW w:w="1711" w:type="dxa"/>
            <w:gridSpan w:val="2"/>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r w:rsidRPr="00A66F1E">
              <w:rPr>
                <w:b/>
                <w:sz w:val="20"/>
                <w:szCs w:val="20"/>
                <w:lang w:val="en-GB"/>
              </w:rPr>
              <w:t>2005</w:t>
            </w:r>
          </w:p>
        </w:tc>
        <w:tc>
          <w:tcPr>
            <w:tcW w:w="1654" w:type="dxa"/>
            <w:gridSpan w:val="2"/>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color w:val="000000"/>
                <w:sz w:val="20"/>
                <w:szCs w:val="20"/>
                <w:lang w:val="en-GB"/>
              </w:rPr>
              <w:t>2008</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color w:val="000000"/>
                <w:sz w:val="20"/>
                <w:szCs w:val="20"/>
                <w:lang w:val="en-GB"/>
              </w:rPr>
              <w:t>2009</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color w:val="000000"/>
                <w:sz w:val="20"/>
                <w:szCs w:val="20"/>
                <w:lang w:val="en-GB"/>
              </w:rPr>
              <w:t>2010</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color w:val="000000"/>
                <w:sz w:val="20"/>
                <w:szCs w:val="20"/>
                <w:lang w:val="en-GB"/>
              </w:rPr>
              <w:t>2011</w:t>
            </w:r>
          </w:p>
        </w:tc>
      </w:tr>
      <w:tr w:rsidR="00A1563E" w:rsidRPr="00A66F1E" w:rsidTr="00A1563E">
        <w:trPr>
          <w:trHeight w:val="306"/>
        </w:trPr>
        <w:tc>
          <w:tcPr>
            <w:tcW w:w="2574" w:type="dxa"/>
            <w:vMerge/>
            <w:tcBorders>
              <w:left w:val="single" w:sz="4" w:space="0" w:color="auto"/>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p>
        </w:tc>
        <w:tc>
          <w:tcPr>
            <w:tcW w:w="1005"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r w:rsidRPr="00A66F1E">
              <w:rPr>
                <w:b/>
                <w:sz w:val="20"/>
                <w:szCs w:val="20"/>
                <w:lang w:val="en-GB"/>
              </w:rPr>
              <w:t>USD</w:t>
            </w:r>
          </w:p>
        </w:tc>
        <w:tc>
          <w:tcPr>
            <w:tcW w:w="849"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r w:rsidRPr="00A66F1E">
              <w:rPr>
                <w:b/>
                <w:sz w:val="20"/>
                <w:szCs w:val="20"/>
                <w:lang w:val="en-GB"/>
              </w:rPr>
              <w:t>%</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r w:rsidRPr="00A66F1E">
              <w:rPr>
                <w:b/>
                <w:sz w:val="20"/>
                <w:szCs w:val="20"/>
                <w:lang w:val="en-GB"/>
              </w:rPr>
              <w:t>USD</w:t>
            </w:r>
          </w:p>
        </w:tc>
        <w:tc>
          <w:tcPr>
            <w:tcW w:w="713"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r w:rsidRPr="00A66F1E">
              <w:rPr>
                <w:b/>
                <w:sz w:val="20"/>
                <w:szCs w:val="20"/>
                <w:lang w:val="en-GB"/>
              </w:rPr>
              <w:t>%</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r w:rsidRPr="00A66F1E">
              <w:rPr>
                <w:b/>
                <w:sz w:val="20"/>
                <w:szCs w:val="20"/>
                <w:lang w:val="en-GB"/>
              </w:rPr>
              <w:t>USD</w:t>
            </w:r>
          </w:p>
        </w:tc>
        <w:tc>
          <w:tcPr>
            <w:tcW w:w="856"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sz w:val="20"/>
                <w:szCs w:val="20"/>
                <w:lang w:val="en-GB"/>
              </w:rPr>
            </w:pPr>
            <w:r w:rsidRPr="00A66F1E">
              <w:rPr>
                <w:b/>
                <w:sz w:val="20"/>
                <w:szCs w:val="20"/>
                <w:lang w:val="en-GB"/>
              </w:rPr>
              <w:t>%</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sz w:val="20"/>
                <w:szCs w:val="20"/>
                <w:lang w:val="en-GB"/>
              </w:rPr>
              <w:t>USD</w:t>
            </w:r>
          </w:p>
        </w:tc>
        <w:tc>
          <w:tcPr>
            <w:tcW w:w="656"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color w:val="000000"/>
                <w:sz w:val="20"/>
                <w:szCs w:val="20"/>
                <w:lang w:val="en-GB"/>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sz w:val="20"/>
                <w:szCs w:val="20"/>
                <w:lang w:val="en-GB"/>
              </w:rPr>
              <w:t>USD</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color w:val="000000"/>
                <w:sz w:val="20"/>
                <w:szCs w:val="20"/>
                <w:lang w:val="en-GB"/>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sz w:val="20"/>
                <w:szCs w:val="20"/>
                <w:lang w:val="en-GB"/>
              </w:rPr>
              <w:t>USD</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color w:val="000000"/>
                <w:sz w:val="20"/>
                <w:szCs w:val="20"/>
                <w:lang w:val="en-GB"/>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sz w:val="20"/>
                <w:szCs w:val="20"/>
                <w:lang w:val="en-GB"/>
              </w:rPr>
              <w:t>USD</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1563E" w:rsidRPr="00A66F1E" w:rsidRDefault="00A1563E" w:rsidP="00A66F1E">
            <w:pPr>
              <w:spacing w:after="0" w:line="360" w:lineRule="auto"/>
              <w:jc w:val="center"/>
              <w:rPr>
                <w:b/>
                <w:color w:val="000000"/>
                <w:sz w:val="20"/>
                <w:szCs w:val="20"/>
                <w:lang w:val="en-GB"/>
              </w:rPr>
            </w:pPr>
            <w:r w:rsidRPr="00A66F1E">
              <w:rPr>
                <w:b/>
                <w:color w:val="000000"/>
                <w:sz w:val="20"/>
                <w:szCs w:val="20"/>
                <w:lang w:val="en-GB"/>
              </w:rPr>
              <w:t>%</w:t>
            </w:r>
          </w:p>
        </w:tc>
      </w:tr>
      <w:tr w:rsidR="000E231A" w:rsidRPr="00A66F1E" w:rsidTr="00A1563E">
        <w:trPr>
          <w:trHeight w:val="1081"/>
        </w:trPr>
        <w:tc>
          <w:tcPr>
            <w:tcW w:w="2574" w:type="dxa"/>
            <w:tcBorders>
              <w:top w:val="nil"/>
              <w:left w:val="single" w:sz="4" w:space="0" w:color="auto"/>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20"/>
                <w:szCs w:val="18"/>
                <w:lang w:val="en-GB"/>
              </w:rPr>
            </w:pPr>
            <w:r w:rsidRPr="00A66F1E">
              <w:rPr>
                <w:color w:val="000000"/>
                <w:sz w:val="20"/>
                <w:szCs w:val="18"/>
                <w:lang w:val="en-GB"/>
              </w:rPr>
              <w:t>Gold</w:t>
            </w:r>
          </w:p>
        </w:tc>
        <w:tc>
          <w:tcPr>
            <w:tcW w:w="1005" w:type="dxa"/>
            <w:tcBorders>
              <w:top w:val="nil"/>
              <w:left w:val="nil"/>
              <w:bottom w:val="single" w:sz="4" w:space="0" w:color="auto"/>
              <w:right w:val="single" w:sz="4" w:space="0" w:color="auto"/>
            </w:tcBorders>
            <w:vAlign w:val="center"/>
          </w:tcPr>
          <w:p w:rsidR="00FB07E3" w:rsidRPr="00A66F1E" w:rsidRDefault="0064777E" w:rsidP="00A66F1E">
            <w:pPr>
              <w:spacing w:after="0" w:line="360" w:lineRule="auto"/>
              <w:jc w:val="center"/>
              <w:rPr>
                <w:color w:val="000000"/>
                <w:sz w:val="18"/>
                <w:szCs w:val="18"/>
                <w:lang w:val="en-GB"/>
              </w:rPr>
            </w:pPr>
            <w:r w:rsidRPr="0022590D">
              <w:rPr>
                <w:color w:val="000000"/>
                <w:sz w:val="18"/>
                <w:szCs w:val="18"/>
                <w:lang w:val="en-GB"/>
              </w:rPr>
              <w:t>0,</w:t>
            </w:r>
            <w:r w:rsidR="00FB07E3" w:rsidRPr="0028285B">
              <w:rPr>
                <w:color w:val="000000"/>
                <w:sz w:val="18"/>
                <w:szCs w:val="18"/>
                <w:lang w:val="en-GB"/>
              </w:rPr>
              <w:t>1</w:t>
            </w:r>
          </w:p>
        </w:tc>
        <w:tc>
          <w:tcPr>
            <w:tcW w:w="84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0.0</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195</w:t>
            </w:r>
          </w:p>
        </w:tc>
        <w:tc>
          <w:tcPr>
            <w:tcW w:w="713"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38.2</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2301</w:t>
            </w:r>
          </w:p>
        </w:tc>
        <w:tc>
          <w:tcPr>
            <w:tcW w:w="8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34.2</w:t>
            </w:r>
          </w:p>
        </w:tc>
        <w:tc>
          <w:tcPr>
            <w:tcW w:w="998"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464</w:t>
            </w:r>
          </w:p>
        </w:tc>
        <w:tc>
          <w:tcPr>
            <w:tcW w:w="6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25.0</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530</w:t>
            </w:r>
          </w:p>
        </w:tc>
        <w:tc>
          <w:tcPr>
            <w:tcW w:w="70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31.6</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668</w:t>
            </w:r>
          </w:p>
        </w:tc>
        <w:tc>
          <w:tcPr>
            <w:tcW w:w="992"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38.1</w:t>
            </w:r>
          </w:p>
        </w:tc>
        <w:tc>
          <w:tcPr>
            <w:tcW w:w="850"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1006</w:t>
            </w:r>
          </w:p>
        </w:tc>
        <w:tc>
          <w:tcPr>
            <w:tcW w:w="993" w:type="dxa"/>
            <w:tcBorders>
              <w:top w:val="nil"/>
              <w:left w:val="nil"/>
              <w:bottom w:val="single" w:sz="4" w:space="0" w:color="auto"/>
              <w:right w:val="single" w:sz="4" w:space="0" w:color="auto"/>
            </w:tcBorders>
            <w:noWrap/>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44.9</w:t>
            </w:r>
          </w:p>
        </w:tc>
      </w:tr>
      <w:tr w:rsidR="000E231A" w:rsidRPr="00A66F1E" w:rsidTr="00A1563E">
        <w:trPr>
          <w:trHeight w:val="883"/>
        </w:trPr>
        <w:tc>
          <w:tcPr>
            <w:tcW w:w="2574" w:type="dxa"/>
            <w:tcBorders>
              <w:top w:val="nil"/>
              <w:left w:val="single" w:sz="4" w:space="0" w:color="auto"/>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20"/>
                <w:szCs w:val="18"/>
                <w:lang w:val="en-GB"/>
              </w:rPr>
            </w:pPr>
            <w:r w:rsidRPr="00A66F1E">
              <w:rPr>
                <w:color w:val="000000"/>
                <w:sz w:val="20"/>
                <w:szCs w:val="18"/>
                <w:lang w:val="en-GB"/>
              </w:rPr>
              <w:t>Clothing</w:t>
            </w:r>
          </w:p>
        </w:tc>
        <w:tc>
          <w:tcPr>
            <w:tcW w:w="1005" w:type="dxa"/>
            <w:tcBorders>
              <w:top w:val="nil"/>
              <w:left w:val="nil"/>
              <w:bottom w:val="single" w:sz="4" w:space="0" w:color="auto"/>
              <w:right w:val="single" w:sz="4" w:space="0" w:color="auto"/>
            </w:tcBorders>
            <w:vAlign w:val="center"/>
          </w:tcPr>
          <w:p w:rsidR="00FB07E3" w:rsidRPr="00A66F1E" w:rsidRDefault="00D25182" w:rsidP="00A66F1E">
            <w:pPr>
              <w:spacing w:after="0" w:line="360" w:lineRule="auto"/>
              <w:jc w:val="center"/>
              <w:rPr>
                <w:color w:val="000000"/>
                <w:sz w:val="18"/>
                <w:szCs w:val="18"/>
                <w:lang w:val="en-GB"/>
              </w:rPr>
            </w:pPr>
            <w:r w:rsidRPr="00A66F1E">
              <w:rPr>
                <w:color w:val="000000"/>
                <w:sz w:val="18"/>
                <w:szCs w:val="18"/>
                <w:lang w:val="en-GB"/>
              </w:rPr>
              <w:t>N</w:t>
            </w:r>
            <w:r w:rsidR="00A1563E" w:rsidRPr="00A66F1E">
              <w:rPr>
                <w:color w:val="000000"/>
                <w:sz w:val="18"/>
                <w:szCs w:val="18"/>
                <w:lang w:val="en-GB"/>
              </w:rPr>
              <w:t>/</w:t>
            </w:r>
            <w:r w:rsidRPr="00A66F1E">
              <w:rPr>
                <w:color w:val="000000"/>
                <w:sz w:val="18"/>
                <w:szCs w:val="18"/>
                <w:lang w:val="en-GB"/>
              </w:rPr>
              <w:t>A</w:t>
            </w:r>
          </w:p>
        </w:tc>
        <w:tc>
          <w:tcPr>
            <w:tcW w:w="849" w:type="dxa"/>
            <w:tcBorders>
              <w:top w:val="nil"/>
              <w:left w:val="nil"/>
              <w:bottom w:val="single" w:sz="4" w:space="0" w:color="auto"/>
              <w:right w:val="single" w:sz="4" w:space="0" w:color="auto"/>
            </w:tcBorders>
            <w:vAlign w:val="center"/>
          </w:tcPr>
          <w:p w:rsidR="00FB07E3" w:rsidRPr="00A66F1E" w:rsidRDefault="00D25182" w:rsidP="00A66F1E">
            <w:pPr>
              <w:spacing w:after="0" w:line="360" w:lineRule="auto"/>
              <w:jc w:val="center"/>
              <w:rPr>
                <w:color w:val="000000"/>
                <w:sz w:val="18"/>
                <w:szCs w:val="18"/>
                <w:lang w:val="en-GB"/>
              </w:rPr>
            </w:pPr>
            <w:r w:rsidRPr="00A66F1E">
              <w:rPr>
                <w:color w:val="000000"/>
                <w:sz w:val="18"/>
                <w:szCs w:val="18"/>
                <w:lang w:val="en-GB"/>
              </w:rPr>
              <w:t>N</w:t>
            </w:r>
            <w:r w:rsidR="00A1563E" w:rsidRPr="00A66F1E">
              <w:rPr>
                <w:color w:val="000000"/>
                <w:sz w:val="18"/>
                <w:szCs w:val="18"/>
                <w:lang w:val="en-GB"/>
              </w:rPr>
              <w:t>/</w:t>
            </w:r>
            <w:r w:rsidRPr="00A66F1E">
              <w:rPr>
                <w:color w:val="000000"/>
                <w:sz w:val="18"/>
                <w:szCs w:val="18"/>
                <w:lang w:val="en-GB"/>
              </w:rPr>
              <w:t>A</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3</w:t>
            </w:r>
          </w:p>
        </w:tc>
        <w:tc>
          <w:tcPr>
            <w:tcW w:w="713"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0.5</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23</w:t>
            </w:r>
          </w:p>
        </w:tc>
        <w:tc>
          <w:tcPr>
            <w:tcW w:w="8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3.4</w:t>
            </w:r>
          </w:p>
        </w:tc>
        <w:tc>
          <w:tcPr>
            <w:tcW w:w="998"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99</w:t>
            </w:r>
          </w:p>
        </w:tc>
        <w:tc>
          <w:tcPr>
            <w:tcW w:w="6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5.3</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73</w:t>
            </w:r>
          </w:p>
        </w:tc>
        <w:tc>
          <w:tcPr>
            <w:tcW w:w="70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4.4</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126</w:t>
            </w:r>
          </w:p>
        </w:tc>
        <w:tc>
          <w:tcPr>
            <w:tcW w:w="992"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7.2</w:t>
            </w:r>
          </w:p>
        </w:tc>
        <w:tc>
          <w:tcPr>
            <w:tcW w:w="850"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142</w:t>
            </w:r>
          </w:p>
        </w:tc>
        <w:tc>
          <w:tcPr>
            <w:tcW w:w="993" w:type="dxa"/>
            <w:tcBorders>
              <w:top w:val="nil"/>
              <w:left w:val="nil"/>
              <w:bottom w:val="single" w:sz="4" w:space="0" w:color="auto"/>
              <w:right w:val="single" w:sz="4" w:space="0" w:color="auto"/>
            </w:tcBorders>
            <w:noWrap/>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6.3</w:t>
            </w:r>
          </w:p>
        </w:tc>
      </w:tr>
      <w:tr w:rsidR="000E231A" w:rsidRPr="00A66F1E" w:rsidTr="00A1563E">
        <w:trPr>
          <w:trHeight w:val="807"/>
        </w:trPr>
        <w:tc>
          <w:tcPr>
            <w:tcW w:w="2574" w:type="dxa"/>
            <w:tcBorders>
              <w:top w:val="nil"/>
              <w:left w:val="single" w:sz="4" w:space="0" w:color="auto"/>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20"/>
                <w:szCs w:val="18"/>
                <w:lang w:val="en-GB"/>
              </w:rPr>
            </w:pPr>
            <w:r w:rsidRPr="00A66F1E">
              <w:rPr>
                <w:color w:val="000000"/>
                <w:sz w:val="20"/>
                <w:szCs w:val="18"/>
                <w:lang w:val="en-GB"/>
              </w:rPr>
              <w:t>Fruits</w:t>
            </w:r>
            <w:r w:rsidR="00A1563E" w:rsidRPr="00A66F1E">
              <w:rPr>
                <w:color w:val="000000"/>
                <w:sz w:val="20"/>
                <w:szCs w:val="18"/>
                <w:lang w:val="en-GB"/>
              </w:rPr>
              <w:t xml:space="preserve"> </w:t>
            </w:r>
            <w:r w:rsidRPr="00A66F1E">
              <w:rPr>
                <w:color w:val="000000"/>
                <w:sz w:val="20"/>
                <w:szCs w:val="18"/>
                <w:lang w:val="en-GB"/>
              </w:rPr>
              <w:t>&amp;</w:t>
            </w:r>
            <w:r w:rsidR="00A1563E" w:rsidRPr="00A66F1E">
              <w:rPr>
                <w:color w:val="000000"/>
                <w:sz w:val="20"/>
                <w:szCs w:val="18"/>
                <w:lang w:val="en-GB"/>
              </w:rPr>
              <w:t xml:space="preserve"> v</w:t>
            </w:r>
            <w:r w:rsidRPr="00A66F1E">
              <w:rPr>
                <w:color w:val="000000"/>
                <w:sz w:val="20"/>
                <w:szCs w:val="18"/>
                <w:lang w:val="en-GB"/>
              </w:rPr>
              <w:t>egetables</w:t>
            </w:r>
          </w:p>
        </w:tc>
        <w:tc>
          <w:tcPr>
            <w:tcW w:w="100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23</w:t>
            </w:r>
          </w:p>
        </w:tc>
        <w:tc>
          <w:tcPr>
            <w:tcW w:w="84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5.5</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7</w:t>
            </w:r>
          </w:p>
        </w:tc>
        <w:tc>
          <w:tcPr>
            <w:tcW w:w="713"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1.4</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15</w:t>
            </w:r>
          </w:p>
        </w:tc>
        <w:tc>
          <w:tcPr>
            <w:tcW w:w="8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2.2</w:t>
            </w:r>
          </w:p>
        </w:tc>
        <w:tc>
          <w:tcPr>
            <w:tcW w:w="998"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74</w:t>
            </w:r>
          </w:p>
        </w:tc>
        <w:tc>
          <w:tcPr>
            <w:tcW w:w="6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4.0</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68</w:t>
            </w:r>
          </w:p>
        </w:tc>
        <w:tc>
          <w:tcPr>
            <w:tcW w:w="70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4.1</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94</w:t>
            </w:r>
          </w:p>
        </w:tc>
        <w:tc>
          <w:tcPr>
            <w:tcW w:w="992"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5.3</w:t>
            </w:r>
          </w:p>
        </w:tc>
        <w:tc>
          <w:tcPr>
            <w:tcW w:w="850"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126</w:t>
            </w:r>
          </w:p>
        </w:tc>
        <w:tc>
          <w:tcPr>
            <w:tcW w:w="993" w:type="dxa"/>
            <w:tcBorders>
              <w:top w:val="nil"/>
              <w:left w:val="nil"/>
              <w:bottom w:val="single" w:sz="4" w:space="0" w:color="auto"/>
              <w:right w:val="single" w:sz="4" w:space="0" w:color="auto"/>
            </w:tcBorders>
            <w:noWrap/>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5.6</w:t>
            </w:r>
          </w:p>
        </w:tc>
      </w:tr>
      <w:tr w:rsidR="000E231A" w:rsidRPr="00A66F1E" w:rsidTr="00A1563E">
        <w:trPr>
          <w:trHeight w:val="689"/>
        </w:trPr>
        <w:tc>
          <w:tcPr>
            <w:tcW w:w="2574" w:type="dxa"/>
            <w:tcBorders>
              <w:top w:val="nil"/>
              <w:left w:val="single" w:sz="4" w:space="0" w:color="auto"/>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20"/>
                <w:szCs w:val="18"/>
                <w:lang w:val="en-GB"/>
              </w:rPr>
            </w:pPr>
            <w:r w:rsidRPr="00A66F1E">
              <w:rPr>
                <w:color w:val="000000"/>
                <w:sz w:val="20"/>
                <w:szCs w:val="18"/>
                <w:lang w:val="en-GB"/>
              </w:rPr>
              <w:t>Electricity</w:t>
            </w:r>
          </w:p>
        </w:tc>
        <w:tc>
          <w:tcPr>
            <w:tcW w:w="100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41</w:t>
            </w:r>
          </w:p>
        </w:tc>
        <w:tc>
          <w:tcPr>
            <w:tcW w:w="84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9.9</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80</w:t>
            </w:r>
          </w:p>
        </w:tc>
        <w:tc>
          <w:tcPr>
            <w:tcW w:w="713"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15.6</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20</w:t>
            </w:r>
          </w:p>
        </w:tc>
        <w:tc>
          <w:tcPr>
            <w:tcW w:w="8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3.0</w:t>
            </w:r>
          </w:p>
        </w:tc>
        <w:tc>
          <w:tcPr>
            <w:tcW w:w="998"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25</w:t>
            </w:r>
          </w:p>
        </w:tc>
        <w:tc>
          <w:tcPr>
            <w:tcW w:w="6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1.4</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37</w:t>
            </w:r>
          </w:p>
        </w:tc>
        <w:tc>
          <w:tcPr>
            <w:tcW w:w="70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2.2</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48</w:t>
            </w:r>
          </w:p>
        </w:tc>
        <w:tc>
          <w:tcPr>
            <w:tcW w:w="992"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2.8</w:t>
            </w:r>
          </w:p>
        </w:tc>
        <w:tc>
          <w:tcPr>
            <w:tcW w:w="850"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74</w:t>
            </w:r>
          </w:p>
        </w:tc>
        <w:tc>
          <w:tcPr>
            <w:tcW w:w="993" w:type="dxa"/>
            <w:tcBorders>
              <w:top w:val="nil"/>
              <w:left w:val="nil"/>
              <w:bottom w:val="single" w:sz="4" w:space="0" w:color="auto"/>
              <w:right w:val="single" w:sz="4" w:space="0" w:color="auto"/>
            </w:tcBorders>
            <w:noWrap/>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3.3</w:t>
            </w:r>
          </w:p>
        </w:tc>
      </w:tr>
      <w:tr w:rsidR="000E231A" w:rsidRPr="00A66F1E" w:rsidTr="00A1563E">
        <w:trPr>
          <w:trHeight w:val="788"/>
        </w:trPr>
        <w:tc>
          <w:tcPr>
            <w:tcW w:w="2574" w:type="dxa"/>
            <w:tcBorders>
              <w:top w:val="nil"/>
              <w:left w:val="single" w:sz="4" w:space="0" w:color="auto"/>
              <w:bottom w:val="single" w:sz="4" w:space="0" w:color="auto"/>
              <w:right w:val="single" w:sz="4" w:space="0" w:color="auto"/>
            </w:tcBorders>
            <w:vAlign w:val="center"/>
          </w:tcPr>
          <w:p w:rsidR="00FB07E3" w:rsidRPr="00A66F1E" w:rsidRDefault="00A1563E" w:rsidP="00825F0A">
            <w:pPr>
              <w:spacing w:after="0" w:line="360" w:lineRule="auto"/>
              <w:jc w:val="center"/>
              <w:rPr>
                <w:color w:val="000000"/>
                <w:sz w:val="20"/>
                <w:szCs w:val="18"/>
                <w:lang w:val="en-GB"/>
              </w:rPr>
            </w:pPr>
            <w:r w:rsidRPr="00A66F1E">
              <w:rPr>
                <w:color w:val="000000"/>
                <w:sz w:val="20"/>
                <w:szCs w:val="18"/>
                <w:lang w:val="en-GB"/>
              </w:rPr>
              <w:t>Cotton f</w:t>
            </w:r>
            <w:r w:rsidR="00FB07E3" w:rsidRPr="00A66F1E">
              <w:rPr>
                <w:color w:val="000000"/>
                <w:sz w:val="20"/>
                <w:szCs w:val="18"/>
                <w:lang w:val="en-GB"/>
              </w:rPr>
              <w:t>ib</w:t>
            </w:r>
            <w:r w:rsidR="00825F0A">
              <w:rPr>
                <w:color w:val="000000"/>
                <w:sz w:val="20"/>
                <w:szCs w:val="18"/>
                <w:lang w:val="en-GB"/>
              </w:rPr>
              <w:t>re</w:t>
            </w:r>
          </w:p>
        </w:tc>
        <w:tc>
          <w:tcPr>
            <w:tcW w:w="100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0</w:t>
            </w:r>
          </w:p>
        </w:tc>
        <w:tc>
          <w:tcPr>
            <w:tcW w:w="84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0.0</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32</w:t>
            </w:r>
          </w:p>
        </w:tc>
        <w:tc>
          <w:tcPr>
            <w:tcW w:w="713"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6.3</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41</w:t>
            </w:r>
          </w:p>
        </w:tc>
        <w:tc>
          <w:tcPr>
            <w:tcW w:w="8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6.1</w:t>
            </w:r>
          </w:p>
        </w:tc>
        <w:tc>
          <w:tcPr>
            <w:tcW w:w="998"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24</w:t>
            </w:r>
          </w:p>
        </w:tc>
        <w:tc>
          <w:tcPr>
            <w:tcW w:w="6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1.3</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22</w:t>
            </w:r>
          </w:p>
        </w:tc>
        <w:tc>
          <w:tcPr>
            <w:tcW w:w="70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1.3</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28</w:t>
            </w:r>
          </w:p>
        </w:tc>
        <w:tc>
          <w:tcPr>
            <w:tcW w:w="992"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1.6</w:t>
            </w:r>
          </w:p>
        </w:tc>
        <w:tc>
          <w:tcPr>
            <w:tcW w:w="850"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31</w:t>
            </w:r>
          </w:p>
        </w:tc>
        <w:tc>
          <w:tcPr>
            <w:tcW w:w="993" w:type="dxa"/>
            <w:tcBorders>
              <w:top w:val="nil"/>
              <w:left w:val="nil"/>
              <w:bottom w:val="single" w:sz="4" w:space="0" w:color="auto"/>
              <w:right w:val="single" w:sz="4" w:space="0" w:color="auto"/>
            </w:tcBorders>
            <w:noWrap/>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1.4</w:t>
            </w:r>
          </w:p>
        </w:tc>
      </w:tr>
      <w:tr w:rsidR="000E231A" w:rsidRPr="00A66F1E" w:rsidTr="00A1563E">
        <w:trPr>
          <w:trHeight w:val="672"/>
        </w:trPr>
        <w:tc>
          <w:tcPr>
            <w:tcW w:w="2574" w:type="dxa"/>
            <w:tcBorders>
              <w:top w:val="nil"/>
              <w:left w:val="single" w:sz="4" w:space="0" w:color="auto"/>
              <w:bottom w:val="single" w:sz="4" w:space="0" w:color="auto"/>
              <w:right w:val="single" w:sz="4" w:space="0" w:color="auto"/>
            </w:tcBorders>
            <w:vAlign w:val="center"/>
          </w:tcPr>
          <w:p w:rsidR="00FB07E3" w:rsidRPr="00A66F1E" w:rsidRDefault="00A1563E" w:rsidP="00A66F1E">
            <w:pPr>
              <w:spacing w:after="0" w:line="360" w:lineRule="auto"/>
              <w:jc w:val="center"/>
              <w:rPr>
                <w:color w:val="000000"/>
                <w:sz w:val="20"/>
                <w:szCs w:val="18"/>
                <w:lang w:val="en-GB"/>
              </w:rPr>
            </w:pPr>
            <w:r w:rsidRPr="00A66F1E">
              <w:rPr>
                <w:color w:val="000000"/>
                <w:sz w:val="20"/>
                <w:szCs w:val="18"/>
                <w:lang w:val="en-GB"/>
              </w:rPr>
              <w:t>Electric l</w:t>
            </w:r>
            <w:r w:rsidR="00FB07E3" w:rsidRPr="00A66F1E">
              <w:rPr>
                <w:color w:val="000000"/>
                <w:sz w:val="20"/>
                <w:szCs w:val="18"/>
                <w:lang w:val="en-GB"/>
              </w:rPr>
              <w:t>amps</w:t>
            </w:r>
          </w:p>
        </w:tc>
        <w:tc>
          <w:tcPr>
            <w:tcW w:w="100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10</w:t>
            </w:r>
          </w:p>
        </w:tc>
        <w:tc>
          <w:tcPr>
            <w:tcW w:w="84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2.4</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12</w:t>
            </w:r>
          </w:p>
        </w:tc>
        <w:tc>
          <w:tcPr>
            <w:tcW w:w="713"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2.3</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16</w:t>
            </w:r>
          </w:p>
        </w:tc>
        <w:tc>
          <w:tcPr>
            <w:tcW w:w="8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2.3</w:t>
            </w:r>
          </w:p>
        </w:tc>
        <w:tc>
          <w:tcPr>
            <w:tcW w:w="998"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21</w:t>
            </w:r>
          </w:p>
        </w:tc>
        <w:tc>
          <w:tcPr>
            <w:tcW w:w="6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1.1</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18</w:t>
            </w:r>
          </w:p>
        </w:tc>
        <w:tc>
          <w:tcPr>
            <w:tcW w:w="70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1.1</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20</w:t>
            </w:r>
          </w:p>
        </w:tc>
        <w:tc>
          <w:tcPr>
            <w:tcW w:w="992"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1.1</w:t>
            </w:r>
          </w:p>
        </w:tc>
        <w:tc>
          <w:tcPr>
            <w:tcW w:w="850"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22</w:t>
            </w:r>
          </w:p>
        </w:tc>
        <w:tc>
          <w:tcPr>
            <w:tcW w:w="993" w:type="dxa"/>
            <w:tcBorders>
              <w:top w:val="nil"/>
              <w:left w:val="nil"/>
              <w:bottom w:val="single" w:sz="4" w:space="0" w:color="auto"/>
              <w:right w:val="single" w:sz="4" w:space="0" w:color="auto"/>
            </w:tcBorders>
            <w:noWrap/>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1.0</w:t>
            </w:r>
          </w:p>
        </w:tc>
      </w:tr>
      <w:tr w:rsidR="000E231A" w:rsidRPr="00A66F1E" w:rsidTr="00A1563E">
        <w:trPr>
          <w:trHeight w:val="1223"/>
        </w:trPr>
        <w:tc>
          <w:tcPr>
            <w:tcW w:w="2574" w:type="dxa"/>
            <w:tcBorders>
              <w:top w:val="nil"/>
              <w:left w:val="single" w:sz="4" w:space="0" w:color="auto"/>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20"/>
                <w:szCs w:val="18"/>
                <w:lang w:val="en-GB"/>
              </w:rPr>
            </w:pPr>
            <w:r w:rsidRPr="00A66F1E">
              <w:rPr>
                <w:color w:val="000000"/>
                <w:sz w:val="20"/>
                <w:szCs w:val="18"/>
                <w:lang w:val="en-GB"/>
              </w:rPr>
              <w:t>Tobacco and tobacco products</w:t>
            </w:r>
          </w:p>
        </w:tc>
        <w:tc>
          <w:tcPr>
            <w:tcW w:w="100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22</w:t>
            </w:r>
          </w:p>
        </w:tc>
        <w:tc>
          <w:tcPr>
            <w:tcW w:w="84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5.3</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31</w:t>
            </w:r>
          </w:p>
        </w:tc>
        <w:tc>
          <w:tcPr>
            <w:tcW w:w="713"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6.1</w:t>
            </w:r>
          </w:p>
        </w:tc>
        <w:tc>
          <w:tcPr>
            <w:tcW w:w="855" w:type="dxa"/>
            <w:tcBorders>
              <w:top w:val="nil"/>
              <w:left w:val="nil"/>
              <w:bottom w:val="single" w:sz="4" w:space="0" w:color="auto"/>
              <w:right w:val="single" w:sz="4" w:space="0" w:color="auto"/>
            </w:tcBorders>
            <w:vAlign w:val="center"/>
          </w:tcPr>
          <w:p w:rsidR="00FB07E3" w:rsidRPr="00A66F1E" w:rsidRDefault="0064777E" w:rsidP="00A66F1E">
            <w:pPr>
              <w:spacing w:after="0" w:line="360" w:lineRule="auto"/>
              <w:jc w:val="center"/>
              <w:rPr>
                <w:color w:val="000000"/>
                <w:sz w:val="18"/>
                <w:szCs w:val="18"/>
                <w:lang w:val="en-GB"/>
              </w:rPr>
            </w:pPr>
            <w:r w:rsidRPr="00A66F1E">
              <w:rPr>
                <w:color w:val="000000"/>
                <w:sz w:val="18"/>
                <w:szCs w:val="18"/>
                <w:lang w:val="en-GB"/>
              </w:rPr>
              <w:t>12</w:t>
            </w:r>
          </w:p>
        </w:tc>
        <w:tc>
          <w:tcPr>
            <w:tcW w:w="8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1.8</w:t>
            </w:r>
          </w:p>
        </w:tc>
        <w:tc>
          <w:tcPr>
            <w:tcW w:w="998"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15</w:t>
            </w:r>
          </w:p>
        </w:tc>
        <w:tc>
          <w:tcPr>
            <w:tcW w:w="6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0.8</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15</w:t>
            </w:r>
          </w:p>
        </w:tc>
        <w:tc>
          <w:tcPr>
            <w:tcW w:w="70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0.9</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22</w:t>
            </w:r>
          </w:p>
        </w:tc>
        <w:tc>
          <w:tcPr>
            <w:tcW w:w="992"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1.3</w:t>
            </w:r>
          </w:p>
        </w:tc>
        <w:tc>
          <w:tcPr>
            <w:tcW w:w="850"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13</w:t>
            </w:r>
          </w:p>
        </w:tc>
        <w:tc>
          <w:tcPr>
            <w:tcW w:w="993" w:type="dxa"/>
            <w:tcBorders>
              <w:top w:val="nil"/>
              <w:left w:val="nil"/>
              <w:bottom w:val="single" w:sz="4" w:space="0" w:color="auto"/>
              <w:right w:val="single" w:sz="4" w:space="0" w:color="auto"/>
            </w:tcBorders>
            <w:noWrap/>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0.6</w:t>
            </w:r>
          </w:p>
        </w:tc>
      </w:tr>
      <w:tr w:rsidR="000E231A" w:rsidRPr="00A66F1E" w:rsidTr="00A1563E">
        <w:trPr>
          <w:trHeight w:val="672"/>
        </w:trPr>
        <w:tc>
          <w:tcPr>
            <w:tcW w:w="2574" w:type="dxa"/>
            <w:tcBorders>
              <w:top w:val="nil"/>
              <w:left w:val="single" w:sz="4" w:space="0" w:color="auto"/>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20"/>
                <w:szCs w:val="18"/>
                <w:lang w:val="en-GB"/>
              </w:rPr>
            </w:pPr>
            <w:r w:rsidRPr="00A66F1E">
              <w:rPr>
                <w:color w:val="000000"/>
                <w:sz w:val="20"/>
                <w:szCs w:val="18"/>
                <w:lang w:val="en-GB"/>
              </w:rPr>
              <w:t>Wool</w:t>
            </w:r>
          </w:p>
        </w:tc>
        <w:tc>
          <w:tcPr>
            <w:tcW w:w="100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19</w:t>
            </w:r>
          </w:p>
        </w:tc>
        <w:tc>
          <w:tcPr>
            <w:tcW w:w="84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4.7</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w:t>
            </w:r>
          </w:p>
        </w:tc>
        <w:tc>
          <w:tcPr>
            <w:tcW w:w="713"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0.4</w:t>
            </w:r>
          </w:p>
        </w:tc>
        <w:tc>
          <w:tcPr>
            <w:tcW w:w="855"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w:t>
            </w:r>
          </w:p>
        </w:tc>
        <w:tc>
          <w:tcPr>
            <w:tcW w:w="8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0.3</w:t>
            </w:r>
          </w:p>
        </w:tc>
        <w:tc>
          <w:tcPr>
            <w:tcW w:w="998"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w:t>
            </w:r>
          </w:p>
        </w:tc>
        <w:tc>
          <w:tcPr>
            <w:tcW w:w="656"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0.1</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w:t>
            </w:r>
          </w:p>
        </w:tc>
        <w:tc>
          <w:tcPr>
            <w:tcW w:w="709"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0.1</w:t>
            </w:r>
          </w:p>
        </w:tc>
        <w:tc>
          <w:tcPr>
            <w:tcW w:w="1134"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2</w:t>
            </w:r>
          </w:p>
        </w:tc>
        <w:tc>
          <w:tcPr>
            <w:tcW w:w="992" w:type="dxa"/>
            <w:tcBorders>
              <w:top w:val="nil"/>
              <w:left w:val="nil"/>
              <w:bottom w:val="single" w:sz="4" w:space="0" w:color="auto"/>
              <w:right w:val="single" w:sz="4" w:space="0" w:color="auto"/>
            </w:tcBorders>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0.1</w:t>
            </w:r>
          </w:p>
        </w:tc>
        <w:tc>
          <w:tcPr>
            <w:tcW w:w="850" w:type="dxa"/>
            <w:tcBorders>
              <w:top w:val="nil"/>
              <w:left w:val="nil"/>
              <w:bottom w:val="single" w:sz="4" w:space="0" w:color="auto"/>
              <w:right w:val="single" w:sz="4" w:space="0" w:color="auto"/>
            </w:tcBorders>
            <w:vAlign w:val="center"/>
          </w:tcPr>
          <w:p w:rsidR="00FB07E3" w:rsidRPr="00A66F1E" w:rsidRDefault="0028285B" w:rsidP="00A66F1E">
            <w:pPr>
              <w:spacing w:after="0" w:line="360" w:lineRule="auto"/>
              <w:jc w:val="center"/>
              <w:rPr>
                <w:color w:val="000000"/>
                <w:sz w:val="18"/>
                <w:szCs w:val="18"/>
                <w:lang w:val="en-GB"/>
              </w:rPr>
            </w:pPr>
            <w:r>
              <w:rPr>
                <w:color w:val="000000"/>
                <w:sz w:val="18"/>
                <w:szCs w:val="18"/>
                <w:lang w:val="en-GB"/>
              </w:rPr>
              <w:t>1</w:t>
            </w:r>
          </w:p>
        </w:tc>
        <w:tc>
          <w:tcPr>
            <w:tcW w:w="993" w:type="dxa"/>
            <w:tcBorders>
              <w:top w:val="nil"/>
              <w:left w:val="nil"/>
              <w:bottom w:val="single" w:sz="4" w:space="0" w:color="auto"/>
              <w:right w:val="single" w:sz="4" w:space="0" w:color="auto"/>
            </w:tcBorders>
            <w:noWrap/>
            <w:vAlign w:val="center"/>
          </w:tcPr>
          <w:p w:rsidR="00FB07E3" w:rsidRPr="00A66F1E" w:rsidRDefault="00FB07E3" w:rsidP="00A66F1E">
            <w:pPr>
              <w:spacing w:after="0" w:line="360" w:lineRule="auto"/>
              <w:jc w:val="center"/>
              <w:rPr>
                <w:color w:val="000000"/>
                <w:sz w:val="18"/>
                <w:szCs w:val="18"/>
                <w:lang w:val="en-GB"/>
              </w:rPr>
            </w:pPr>
            <w:r w:rsidRPr="00A66F1E">
              <w:rPr>
                <w:color w:val="000000"/>
                <w:sz w:val="18"/>
                <w:szCs w:val="18"/>
                <w:lang w:val="en-GB"/>
              </w:rPr>
              <w:t>0.0</w:t>
            </w:r>
          </w:p>
        </w:tc>
      </w:tr>
    </w:tbl>
    <w:p w:rsidR="00E332CF" w:rsidRPr="00A66F1E" w:rsidRDefault="00E332CF" w:rsidP="00A66F1E">
      <w:pPr>
        <w:pStyle w:val="Default"/>
        <w:spacing w:line="360" w:lineRule="auto"/>
        <w:ind w:left="720"/>
        <w:rPr>
          <w:rFonts w:ascii="Arial" w:hAnsi="Arial" w:cs="Arial"/>
          <w:b/>
          <w:sz w:val="22"/>
          <w:szCs w:val="22"/>
          <w:lang w:val="en-GB"/>
        </w:rPr>
      </w:pPr>
    </w:p>
    <w:p w:rsidR="00E332CF" w:rsidRPr="00A66F1E" w:rsidRDefault="00E332CF" w:rsidP="00A66F1E">
      <w:pPr>
        <w:pStyle w:val="Default"/>
        <w:spacing w:line="360" w:lineRule="auto"/>
        <w:ind w:left="720"/>
        <w:rPr>
          <w:rFonts w:ascii="Arial" w:hAnsi="Arial" w:cs="Arial"/>
          <w:b/>
          <w:sz w:val="22"/>
          <w:szCs w:val="22"/>
          <w:lang w:val="en-GB"/>
        </w:rPr>
      </w:pPr>
    </w:p>
    <w:p w:rsidR="00B07E1F" w:rsidRPr="00A66F1E" w:rsidRDefault="00042A7E" w:rsidP="008017BF">
      <w:pPr>
        <w:pStyle w:val="Default"/>
        <w:spacing w:line="360" w:lineRule="auto"/>
        <w:rPr>
          <w:rFonts w:ascii="Arial" w:hAnsi="Arial" w:cs="Arial"/>
          <w:b/>
          <w:szCs w:val="22"/>
          <w:lang w:val="en-GB"/>
        </w:rPr>
      </w:pPr>
      <w:r w:rsidRPr="00A66F1E">
        <w:rPr>
          <w:rFonts w:ascii="Arial" w:hAnsi="Arial" w:cs="Arial"/>
          <w:b/>
          <w:szCs w:val="22"/>
          <w:lang w:val="en-GB"/>
        </w:rPr>
        <w:lastRenderedPageBreak/>
        <w:t>Tajikistan</w:t>
      </w:r>
      <w:r>
        <w:rPr>
          <w:rFonts w:ascii="Arial" w:hAnsi="Arial" w:cs="Arial"/>
          <w:b/>
          <w:szCs w:val="22"/>
          <w:lang w:val="en-GB"/>
        </w:rPr>
        <w:t xml:space="preserve">: </w:t>
      </w:r>
      <w:r w:rsidR="00825F0A">
        <w:rPr>
          <w:rFonts w:ascii="Arial" w:hAnsi="Arial" w:cs="Arial"/>
          <w:b/>
          <w:szCs w:val="22"/>
          <w:lang w:val="en-GB"/>
        </w:rPr>
        <w:t>Eight</w:t>
      </w:r>
      <w:r w:rsidR="00FE643F" w:rsidRPr="00A66F1E">
        <w:rPr>
          <w:rFonts w:ascii="Arial" w:hAnsi="Arial" w:cs="Arial"/>
          <w:b/>
          <w:szCs w:val="22"/>
          <w:lang w:val="en-GB"/>
        </w:rPr>
        <w:t xml:space="preserve"> </w:t>
      </w:r>
      <w:r w:rsidR="003271E0" w:rsidRPr="0028285B">
        <w:rPr>
          <w:rFonts w:ascii="Arial" w:hAnsi="Arial" w:cs="Arial"/>
          <w:b/>
          <w:szCs w:val="22"/>
          <w:lang w:val="en-GB"/>
        </w:rPr>
        <w:t>m</w:t>
      </w:r>
      <w:r w:rsidR="00B07E1F" w:rsidRPr="0028285B">
        <w:rPr>
          <w:rFonts w:ascii="Arial" w:hAnsi="Arial" w:cs="Arial"/>
          <w:b/>
          <w:szCs w:val="22"/>
          <w:lang w:val="en-GB"/>
        </w:rPr>
        <w:t>ajor</w:t>
      </w:r>
      <w:r w:rsidR="003271E0" w:rsidRPr="00A66F1E">
        <w:rPr>
          <w:rFonts w:ascii="Arial" w:hAnsi="Arial" w:cs="Arial"/>
          <w:b/>
          <w:szCs w:val="22"/>
          <w:lang w:val="en-GB"/>
        </w:rPr>
        <w:t xml:space="preserve"> export i</w:t>
      </w:r>
      <w:r w:rsidR="00B07E1F" w:rsidRPr="00A66F1E">
        <w:rPr>
          <w:rFonts w:ascii="Arial" w:hAnsi="Arial" w:cs="Arial"/>
          <w:b/>
          <w:szCs w:val="22"/>
          <w:lang w:val="en-GB"/>
        </w:rPr>
        <w:t>tems from (</w:t>
      </w:r>
      <w:r w:rsidR="00825F0A">
        <w:rPr>
          <w:rFonts w:ascii="Arial" w:hAnsi="Arial" w:cs="Arial"/>
          <w:b/>
          <w:szCs w:val="22"/>
          <w:lang w:val="en-GB"/>
        </w:rPr>
        <w:t>USD mill.</w:t>
      </w:r>
      <w:r w:rsidR="005B20D5" w:rsidRPr="00A66F1E">
        <w:rPr>
          <w:rFonts w:ascii="Arial" w:hAnsi="Arial" w:cs="Arial"/>
          <w:b/>
          <w:szCs w:val="22"/>
          <w:lang w:val="en-GB"/>
        </w:rPr>
        <w:t xml:space="preserve"> and as </w:t>
      </w:r>
      <w:r w:rsidR="0045791E" w:rsidRPr="00A66F1E">
        <w:rPr>
          <w:rFonts w:ascii="Arial" w:hAnsi="Arial" w:cs="Arial"/>
          <w:b/>
          <w:szCs w:val="22"/>
          <w:lang w:val="en-GB"/>
        </w:rPr>
        <w:t>percentage of total exports)</w:t>
      </w:r>
      <w:r w:rsidR="003E7477" w:rsidRPr="00A66F1E">
        <w:rPr>
          <w:rStyle w:val="FootnoteReference"/>
          <w:rFonts w:ascii="Arial" w:hAnsi="Arial"/>
          <w:b/>
          <w:szCs w:val="22"/>
          <w:lang w:val="en-GB"/>
        </w:rPr>
        <w:footnoteReference w:id="11"/>
      </w:r>
    </w:p>
    <w:p w:rsidR="0045791E" w:rsidRPr="00A66F1E" w:rsidRDefault="0045791E" w:rsidP="00A66F1E">
      <w:pPr>
        <w:pStyle w:val="Default"/>
        <w:spacing w:line="360" w:lineRule="auto"/>
        <w:rPr>
          <w:rFonts w:ascii="Arial" w:hAnsi="Arial" w:cs="Arial"/>
          <w:b/>
          <w:sz w:val="22"/>
          <w:szCs w:val="22"/>
          <w:lang w:val="en-GB"/>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2"/>
        <w:gridCol w:w="987"/>
        <w:gridCol w:w="862"/>
        <w:gridCol w:w="861"/>
        <w:gridCol w:w="682"/>
        <w:gridCol w:w="810"/>
        <w:gridCol w:w="845"/>
        <w:gridCol w:w="998"/>
        <w:gridCol w:w="709"/>
        <w:gridCol w:w="1134"/>
        <w:gridCol w:w="850"/>
        <w:gridCol w:w="993"/>
        <w:gridCol w:w="1134"/>
        <w:gridCol w:w="992"/>
        <w:gridCol w:w="992"/>
      </w:tblGrid>
      <w:tr w:rsidR="003271E0" w:rsidRPr="00A66F1E" w:rsidTr="003271E0">
        <w:trPr>
          <w:trHeight w:val="421"/>
        </w:trPr>
        <w:tc>
          <w:tcPr>
            <w:tcW w:w="2602" w:type="dxa"/>
            <w:vMerge w:val="restart"/>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p>
        </w:tc>
        <w:tc>
          <w:tcPr>
            <w:tcW w:w="1849"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1995</w:t>
            </w:r>
          </w:p>
        </w:tc>
        <w:tc>
          <w:tcPr>
            <w:tcW w:w="1543"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2000</w:t>
            </w:r>
          </w:p>
        </w:tc>
        <w:tc>
          <w:tcPr>
            <w:tcW w:w="1655" w:type="dxa"/>
            <w:gridSpan w:val="2"/>
            <w:vAlign w:val="center"/>
          </w:tcPr>
          <w:p w:rsidR="003271E0" w:rsidRPr="00A66F1E" w:rsidRDefault="003271E0" w:rsidP="00A66F1E">
            <w:pPr>
              <w:pStyle w:val="Default"/>
              <w:spacing w:line="360" w:lineRule="auto"/>
              <w:jc w:val="center"/>
              <w:rPr>
                <w:rFonts w:ascii="Arial" w:hAnsi="Arial" w:cs="Arial"/>
                <w:b/>
                <w:color w:val="auto"/>
                <w:sz w:val="20"/>
                <w:szCs w:val="20"/>
                <w:lang w:val="en-GB" w:eastAsia="ru-RU"/>
              </w:rPr>
            </w:pPr>
            <w:r w:rsidRPr="00A66F1E">
              <w:rPr>
                <w:rFonts w:ascii="Arial" w:hAnsi="Arial" w:cs="Arial"/>
                <w:b/>
                <w:sz w:val="20"/>
                <w:szCs w:val="20"/>
                <w:lang w:val="en-GB" w:eastAsia="ru-RU"/>
              </w:rPr>
              <w:t>2005</w:t>
            </w:r>
          </w:p>
        </w:tc>
        <w:tc>
          <w:tcPr>
            <w:tcW w:w="1707"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color w:val="auto"/>
                <w:sz w:val="20"/>
                <w:szCs w:val="20"/>
                <w:lang w:val="en-GB" w:eastAsia="ru-RU"/>
              </w:rPr>
              <w:t>2008</w:t>
            </w:r>
          </w:p>
        </w:tc>
        <w:tc>
          <w:tcPr>
            <w:tcW w:w="1984"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2009</w:t>
            </w:r>
          </w:p>
        </w:tc>
        <w:tc>
          <w:tcPr>
            <w:tcW w:w="2127"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2010</w:t>
            </w:r>
          </w:p>
        </w:tc>
        <w:tc>
          <w:tcPr>
            <w:tcW w:w="1984"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2011</w:t>
            </w:r>
          </w:p>
        </w:tc>
      </w:tr>
      <w:tr w:rsidR="003271E0" w:rsidRPr="00A66F1E" w:rsidTr="003271E0">
        <w:trPr>
          <w:trHeight w:val="280"/>
        </w:trPr>
        <w:tc>
          <w:tcPr>
            <w:tcW w:w="2602" w:type="dxa"/>
            <w:vMerge/>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p>
        </w:tc>
        <w:tc>
          <w:tcPr>
            <w:tcW w:w="987"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862"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861"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682"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810"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845" w:type="dxa"/>
            <w:vAlign w:val="center"/>
          </w:tcPr>
          <w:p w:rsidR="003271E0" w:rsidRPr="00A66F1E" w:rsidRDefault="003271E0" w:rsidP="00A66F1E">
            <w:pPr>
              <w:pStyle w:val="Default"/>
              <w:spacing w:line="360" w:lineRule="auto"/>
              <w:jc w:val="center"/>
              <w:rPr>
                <w:rFonts w:ascii="Arial" w:hAnsi="Arial" w:cs="Arial"/>
                <w:b/>
                <w:color w:val="auto"/>
                <w:sz w:val="20"/>
                <w:szCs w:val="20"/>
                <w:lang w:val="en-GB" w:eastAsia="ru-RU"/>
              </w:rPr>
            </w:pPr>
            <w:r w:rsidRPr="00A66F1E">
              <w:rPr>
                <w:rFonts w:ascii="Arial" w:hAnsi="Arial" w:cs="Arial"/>
                <w:b/>
                <w:color w:val="auto"/>
                <w:sz w:val="20"/>
                <w:szCs w:val="20"/>
                <w:lang w:val="en-GB" w:eastAsia="ru-RU"/>
              </w:rPr>
              <w:t>%</w:t>
            </w:r>
          </w:p>
        </w:tc>
        <w:tc>
          <w:tcPr>
            <w:tcW w:w="998" w:type="dxa"/>
            <w:vAlign w:val="center"/>
          </w:tcPr>
          <w:p w:rsidR="003271E0" w:rsidRPr="00A66F1E" w:rsidRDefault="003271E0" w:rsidP="00A66F1E">
            <w:pPr>
              <w:pStyle w:val="Default"/>
              <w:spacing w:line="360" w:lineRule="auto"/>
              <w:jc w:val="center"/>
              <w:rPr>
                <w:rFonts w:ascii="Arial" w:hAnsi="Arial" w:cs="Arial"/>
                <w:b/>
                <w:color w:val="auto"/>
                <w:sz w:val="20"/>
                <w:szCs w:val="20"/>
                <w:lang w:val="en-GB" w:eastAsia="ru-RU"/>
              </w:rPr>
            </w:pPr>
            <w:r w:rsidRPr="00A66F1E">
              <w:rPr>
                <w:rFonts w:ascii="Arial" w:hAnsi="Arial" w:cs="Arial"/>
                <w:b/>
                <w:sz w:val="20"/>
                <w:szCs w:val="20"/>
                <w:lang w:val="en-GB" w:eastAsia="ru-RU"/>
              </w:rPr>
              <w:t>USD</w:t>
            </w:r>
          </w:p>
        </w:tc>
        <w:tc>
          <w:tcPr>
            <w:tcW w:w="709"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1134"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850"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993"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1134"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992"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992"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r>
      <w:tr w:rsidR="000E231A" w:rsidRPr="00A66F1E" w:rsidTr="003271E0">
        <w:trPr>
          <w:trHeight w:val="907"/>
        </w:trPr>
        <w:tc>
          <w:tcPr>
            <w:tcW w:w="2602" w:type="dxa"/>
            <w:vAlign w:val="center"/>
          </w:tcPr>
          <w:p w:rsidR="003E7477" w:rsidRPr="00A66F1E" w:rsidRDefault="003E7477" w:rsidP="00B60526">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Alumi</w:t>
            </w:r>
            <w:r w:rsidR="00B60526">
              <w:rPr>
                <w:rFonts w:ascii="Arial" w:hAnsi="Arial" w:cs="Arial"/>
                <w:b/>
                <w:sz w:val="20"/>
                <w:szCs w:val="20"/>
                <w:lang w:val="en-GB" w:eastAsia="ru-RU"/>
              </w:rPr>
              <w:t>nium</w:t>
            </w:r>
          </w:p>
        </w:tc>
        <w:tc>
          <w:tcPr>
            <w:tcW w:w="987" w:type="dxa"/>
            <w:vAlign w:val="center"/>
          </w:tcPr>
          <w:p w:rsidR="003E7477" w:rsidRPr="00A66F1E" w:rsidRDefault="0064777E"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39</w:t>
            </w:r>
            <w:r w:rsidR="0028285B">
              <w:rPr>
                <w:rFonts w:ascii="Arial" w:hAnsi="Arial" w:cs="Arial"/>
                <w:sz w:val="18"/>
                <w:szCs w:val="18"/>
                <w:lang w:val="en-GB" w:eastAsia="ru-RU"/>
              </w:rPr>
              <w:t>1</w:t>
            </w:r>
          </w:p>
        </w:tc>
        <w:tc>
          <w:tcPr>
            <w:tcW w:w="86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52.2</w:t>
            </w:r>
          </w:p>
        </w:tc>
        <w:tc>
          <w:tcPr>
            <w:tcW w:w="861"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437</w:t>
            </w:r>
          </w:p>
        </w:tc>
        <w:tc>
          <w:tcPr>
            <w:tcW w:w="68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58.3</w:t>
            </w:r>
          </w:p>
        </w:tc>
        <w:tc>
          <w:tcPr>
            <w:tcW w:w="81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572</w:t>
            </w:r>
          </w:p>
        </w:tc>
        <w:tc>
          <w:tcPr>
            <w:tcW w:w="845" w:type="dxa"/>
            <w:vAlign w:val="center"/>
          </w:tcPr>
          <w:p w:rsidR="003E7477" w:rsidRPr="00A66F1E" w:rsidRDefault="003E7477"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62.9</w:t>
            </w:r>
          </w:p>
        </w:tc>
        <w:tc>
          <w:tcPr>
            <w:tcW w:w="998"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1109</w:t>
            </w:r>
          </w:p>
        </w:tc>
        <w:tc>
          <w:tcPr>
            <w:tcW w:w="709"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75.5</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605</w:t>
            </w:r>
          </w:p>
        </w:tc>
        <w:tc>
          <w:tcPr>
            <w:tcW w:w="850"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60.0</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1040</w:t>
            </w:r>
          </w:p>
        </w:tc>
        <w:tc>
          <w:tcPr>
            <w:tcW w:w="1134"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73.8</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757</w:t>
            </w:r>
          </w:p>
        </w:tc>
        <w:tc>
          <w:tcPr>
            <w:tcW w:w="99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63.4</w:t>
            </w:r>
          </w:p>
        </w:tc>
      </w:tr>
      <w:tr w:rsidR="000E231A" w:rsidRPr="00A66F1E" w:rsidTr="003271E0">
        <w:trPr>
          <w:trHeight w:val="878"/>
        </w:trPr>
        <w:tc>
          <w:tcPr>
            <w:tcW w:w="2602" w:type="dxa"/>
            <w:vAlign w:val="center"/>
          </w:tcPr>
          <w:p w:rsidR="003E7477" w:rsidRPr="00A66F1E" w:rsidRDefault="003E7477" w:rsidP="00B60526">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Cotton fib</w:t>
            </w:r>
            <w:r w:rsidR="00B60526">
              <w:rPr>
                <w:rFonts w:ascii="Arial" w:hAnsi="Arial" w:cs="Arial"/>
                <w:b/>
                <w:sz w:val="20"/>
                <w:szCs w:val="20"/>
                <w:lang w:val="en-GB" w:eastAsia="ru-RU"/>
              </w:rPr>
              <w:t>re</w:t>
            </w:r>
            <w:r w:rsidRPr="00A66F1E">
              <w:rPr>
                <w:rFonts w:ascii="Arial" w:hAnsi="Arial" w:cs="Arial"/>
                <w:b/>
                <w:sz w:val="20"/>
                <w:szCs w:val="20"/>
                <w:lang w:val="en-GB" w:eastAsia="ru-RU"/>
              </w:rPr>
              <w:t xml:space="preserve"> and textiles</w:t>
            </w:r>
          </w:p>
        </w:tc>
        <w:tc>
          <w:tcPr>
            <w:tcW w:w="987"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219</w:t>
            </w:r>
          </w:p>
        </w:tc>
        <w:tc>
          <w:tcPr>
            <w:tcW w:w="86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29.1</w:t>
            </w:r>
          </w:p>
        </w:tc>
        <w:tc>
          <w:tcPr>
            <w:tcW w:w="861"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130</w:t>
            </w:r>
          </w:p>
        </w:tc>
        <w:tc>
          <w:tcPr>
            <w:tcW w:w="68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16.6</w:t>
            </w:r>
          </w:p>
        </w:tc>
        <w:tc>
          <w:tcPr>
            <w:tcW w:w="81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188</w:t>
            </w:r>
          </w:p>
        </w:tc>
        <w:tc>
          <w:tcPr>
            <w:tcW w:w="845" w:type="dxa"/>
            <w:vAlign w:val="center"/>
          </w:tcPr>
          <w:p w:rsidR="003E7477" w:rsidRPr="00A66F1E" w:rsidRDefault="003E7477"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20.7</w:t>
            </w:r>
          </w:p>
        </w:tc>
        <w:tc>
          <w:tcPr>
            <w:tcW w:w="998"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175</w:t>
            </w:r>
          </w:p>
        </w:tc>
        <w:tc>
          <w:tcPr>
            <w:tcW w:w="709"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8.6</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128</w:t>
            </w:r>
          </w:p>
        </w:tc>
        <w:tc>
          <w:tcPr>
            <w:tcW w:w="850"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12.6</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140</w:t>
            </w:r>
          </w:p>
        </w:tc>
        <w:tc>
          <w:tcPr>
            <w:tcW w:w="1134"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9.9</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233</w:t>
            </w:r>
          </w:p>
        </w:tc>
        <w:tc>
          <w:tcPr>
            <w:tcW w:w="99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19.5</w:t>
            </w:r>
          </w:p>
        </w:tc>
      </w:tr>
      <w:tr w:rsidR="000E231A" w:rsidRPr="00A66F1E" w:rsidTr="003271E0">
        <w:trPr>
          <w:trHeight w:val="914"/>
        </w:trPr>
        <w:tc>
          <w:tcPr>
            <w:tcW w:w="260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Fruits and vegetables</w:t>
            </w:r>
          </w:p>
        </w:tc>
        <w:tc>
          <w:tcPr>
            <w:tcW w:w="987" w:type="dxa"/>
            <w:vAlign w:val="center"/>
          </w:tcPr>
          <w:p w:rsidR="003E7477" w:rsidRPr="00A66F1E" w:rsidRDefault="0064777E"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w:t>
            </w:r>
            <w:r w:rsidR="003E7477" w:rsidRPr="00A66F1E">
              <w:rPr>
                <w:rFonts w:ascii="Arial" w:hAnsi="Arial" w:cs="Arial"/>
                <w:sz w:val="18"/>
                <w:szCs w:val="18"/>
                <w:lang w:val="en-GB" w:eastAsia="ru-RU"/>
              </w:rPr>
              <w:t>2</w:t>
            </w:r>
          </w:p>
        </w:tc>
        <w:tc>
          <w:tcPr>
            <w:tcW w:w="86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0.002</w:t>
            </w:r>
          </w:p>
        </w:tc>
        <w:tc>
          <w:tcPr>
            <w:tcW w:w="861"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19</w:t>
            </w:r>
          </w:p>
        </w:tc>
        <w:tc>
          <w:tcPr>
            <w:tcW w:w="682" w:type="dxa"/>
            <w:vAlign w:val="center"/>
          </w:tcPr>
          <w:p w:rsidR="003E7477" w:rsidRPr="00A66F1E" w:rsidRDefault="003E7477" w:rsidP="00A66F1E">
            <w:pPr>
              <w:spacing w:line="360" w:lineRule="auto"/>
              <w:jc w:val="center"/>
              <w:rPr>
                <w:sz w:val="18"/>
                <w:szCs w:val="18"/>
                <w:lang w:val="en-GB" w:eastAsia="ru-RU"/>
              </w:rPr>
            </w:pPr>
            <w:r w:rsidRPr="00A66F1E">
              <w:rPr>
                <w:sz w:val="18"/>
                <w:szCs w:val="18"/>
                <w:lang w:val="en-GB" w:eastAsia="ru-RU"/>
              </w:rPr>
              <w:t>2.4</w:t>
            </w:r>
          </w:p>
        </w:tc>
        <w:tc>
          <w:tcPr>
            <w:tcW w:w="81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23</w:t>
            </w:r>
          </w:p>
        </w:tc>
        <w:tc>
          <w:tcPr>
            <w:tcW w:w="845" w:type="dxa"/>
            <w:vAlign w:val="center"/>
          </w:tcPr>
          <w:p w:rsidR="003E7477" w:rsidRPr="00A66F1E" w:rsidRDefault="003E7477" w:rsidP="00A66F1E">
            <w:pPr>
              <w:spacing w:line="360" w:lineRule="auto"/>
              <w:jc w:val="center"/>
              <w:rPr>
                <w:sz w:val="18"/>
                <w:szCs w:val="18"/>
                <w:lang w:val="en-GB" w:eastAsia="ru-RU"/>
              </w:rPr>
            </w:pPr>
            <w:r w:rsidRPr="00A66F1E">
              <w:rPr>
                <w:sz w:val="18"/>
                <w:szCs w:val="18"/>
                <w:lang w:val="en-GB" w:eastAsia="ru-RU"/>
              </w:rPr>
              <w:t>2.5</w:t>
            </w:r>
          </w:p>
        </w:tc>
        <w:tc>
          <w:tcPr>
            <w:tcW w:w="998"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45</w:t>
            </w:r>
          </w:p>
        </w:tc>
        <w:tc>
          <w:tcPr>
            <w:tcW w:w="709"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3.6</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54</w:t>
            </w:r>
          </w:p>
        </w:tc>
        <w:tc>
          <w:tcPr>
            <w:tcW w:w="850"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5.3</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55</w:t>
            </w:r>
          </w:p>
        </w:tc>
        <w:tc>
          <w:tcPr>
            <w:tcW w:w="1134"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3.9</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60</w:t>
            </w:r>
          </w:p>
        </w:tc>
        <w:tc>
          <w:tcPr>
            <w:tcW w:w="99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5.0</w:t>
            </w:r>
          </w:p>
        </w:tc>
      </w:tr>
      <w:tr w:rsidR="000E231A" w:rsidRPr="00A66F1E" w:rsidTr="003271E0">
        <w:trPr>
          <w:trHeight w:val="907"/>
        </w:trPr>
        <w:tc>
          <w:tcPr>
            <w:tcW w:w="2602" w:type="dxa"/>
            <w:vAlign w:val="center"/>
          </w:tcPr>
          <w:p w:rsidR="003E7477" w:rsidRPr="00A66F1E" w:rsidRDefault="003E7477" w:rsidP="00A66F1E">
            <w:pPr>
              <w:spacing w:line="360" w:lineRule="auto"/>
              <w:jc w:val="center"/>
              <w:rPr>
                <w:b/>
                <w:sz w:val="20"/>
                <w:szCs w:val="20"/>
                <w:lang w:val="en-GB" w:eastAsia="ru-RU"/>
              </w:rPr>
            </w:pPr>
            <w:r w:rsidRPr="00A66F1E">
              <w:rPr>
                <w:b/>
                <w:sz w:val="20"/>
                <w:szCs w:val="20"/>
                <w:lang w:val="en-GB" w:eastAsia="ru-RU"/>
              </w:rPr>
              <w:t xml:space="preserve">Processed </w:t>
            </w:r>
            <w:r w:rsidR="00950E1A" w:rsidRPr="00A66F1E">
              <w:rPr>
                <w:b/>
                <w:sz w:val="20"/>
                <w:szCs w:val="20"/>
                <w:lang w:val="en-GB" w:eastAsia="ru-RU"/>
              </w:rPr>
              <w:t xml:space="preserve"> </w:t>
            </w:r>
            <w:r w:rsidRPr="00A66F1E">
              <w:rPr>
                <w:b/>
                <w:sz w:val="20"/>
                <w:szCs w:val="20"/>
                <w:lang w:val="en-GB" w:eastAsia="ru-RU"/>
              </w:rPr>
              <w:t>food products and beverages</w:t>
            </w:r>
          </w:p>
        </w:tc>
        <w:tc>
          <w:tcPr>
            <w:tcW w:w="987"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4</w:t>
            </w:r>
          </w:p>
        </w:tc>
        <w:tc>
          <w:tcPr>
            <w:tcW w:w="86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0.05</w:t>
            </w:r>
          </w:p>
        </w:tc>
        <w:tc>
          <w:tcPr>
            <w:tcW w:w="861"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12</w:t>
            </w:r>
          </w:p>
        </w:tc>
        <w:tc>
          <w:tcPr>
            <w:tcW w:w="68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1.4</w:t>
            </w:r>
          </w:p>
        </w:tc>
        <w:tc>
          <w:tcPr>
            <w:tcW w:w="81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7</w:t>
            </w:r>
          </w:p>
        </w:tc>
        <w:tc>
          <w:tcPr>
            <w:tcW w:w="845" w:type="dxa"/>
            <w:vAlign w:val="center"/>
          </w:tcPr>
          <w:p w:rsidR="003E7477" w:rsidRPr="00A66F1E" w:rsidRDefault="003E7477"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0.8</w:t>
            </w:r>
          </w:p>
        </w:tc>
        <w:tc>
          <w:tcPr>
            <w:tcW w:w="998"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6</w:t>
            </w:r>
          </w:p>
        </w:tc>
        <w:tc>
          <w:tcPr>
            <w:tcW w:w="709"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0.3</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w:t>
            </w:r>
          </w:p>
        </w:tc>
        <w:tc>
          <w:tcPr>
            <w:tcW w:w="850"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0.5</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w:t>
            </w:r>
          </w:p>
        </w:tc>
        <w:tc>
          <w:tcPr>
            <w:tcW w:w="1134"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0.3</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4</w:t>
            </w:r>
          </w:p>
        </w:tc>
        <w:tc>
          <w:tcPr>
            <w:tcW w:w="99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0.3</w:t>
            </w:r>
          </w:p>
        </w:tc>
      </w:tr>
      <w:tr w:rsidR="000E231A" w:rsidRPr="00A66F1E" w:rsidTr="003271E0">
        <w:trPr>
          <w:trHeight w:val="651"/>
        </w:trPr>
        <w:tc>
          <w:tcPr>
            <w:tcW w:w="260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Electricity</w:t>
            </w:r>
          </w:p>
        </w:tc>
        <w:tc>
          <w:tcPr>
            <w:tcW w:w="987"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126</w:t>
            </w:r>
          </w:p>
        </w:tc>
        <w:tc>
          <w:tcPr>
            <w:tcW w:w="86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16.8</w:t>
            </w:r>
          </w:p>
        </w:tc>
        <w:tc>
          <w:tcPr>
            <w:tcW w:w="861"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94</w:t>
            </w:r>
          </w:p>
        </w:tc>
        <w:tc>
          <w:tcPr>
            <w:tcW w:w="68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11.9</w:t>
            </w:r>
          </w:p>
        </w:tc>
        <w:tc>
          <w:tcPr>
            <w:tcW w:w="81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61</w:t>
            </w:r>
          </w:p>
        </w:tc>
        <w:tc>
          <w:tcPr>
            <w:tcW w:w="845" w:type="dxa"/>
            <w:vAlign w:val="center"/>
          </w:tcPr>
          <w:p w:rsidR="003E7477" w:rsidRPr="00A66F1E" w:rsidRDefault="003E7477"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6.6</w:t>
            </w:r>
          </w:p>
        </w:tc>
        <w:tc>
          <w:tcPr>
            <w:tcW w:w="998"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71</w:t>
            </w:r>
          </w:p>
        </w:tc>
        <w:tc>
          <w:tcPr>
            <w:tcW w:w="709"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4.9</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72</w:t>
            </w:r>
          </w:p>
        </w:tc>
        <w:tc>
          <w:tcPr>
            <w:tcW w:w="850"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7.0</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81</w:t>
            </w:r>
          </w:p>
        </w:tc>
        <w:tc>
          <w:tcPr>
            <w:tcW w:w="1134"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5.7</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54</w:t>
            </w:r>
          </w:p>
        </w:tc>
        <w:tc>
          <w:tcPr>
            <w:tcW w:w="99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4.5</w:t>
            </w:r>
          </w:p>
        </w:tc>
      </w:tr>
      <w:tr w:rsidR="000E231A" w:rsidRPr="00A66F1E" w:rsidTr="003271E0">
        <w:trPr>
          <w:trHeight w:val="927"/>
        </w:trPr>
        <w:tc>
          <w:tcPr>
            <w:tcW w:w="260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Gold</w:t>
            </w:r>
          </w:p>
        </w:tc>
        <w:tc>
          <w:tcPr>
            <w:tcW w:w="987" w:type="dxa"/>
            <w:vAlign w:val="center"/>
          </w:tcPr>
          <w:p w:rsidR="003E7477" w:rsidRPr="00A66F1E" w:rsidRDefault="0064777E"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w:t>
            </w:r>
            <w:r w:rsidR="003E7477" w:rsidRPr="00A66F1E">
              <w:rPr>
                <w:rFonts w:ascii="Arial" w:hAnsi="Arial" w:cs="Arial"/>
                <w:sz w:val="18"/>
                <w:szCs w:val="18"/>
                <w:lang w:val="en-GB" w:eastAsia="ru-RU"/>
              </w:rPr>
              <w:t>1</w:t>
            </w:r>
          </w:p>
        </w:tc>
        <w:tc>
          <w:tcPr>
            <w:tcW w:w="86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0.001</w:t>
            </w:r>
          </w:p>
        </w:tc>
        <w:tc>
          <w:tcPr>
            <w:tcW w:w="861"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24</w:t>
            </w:r>
          </w:p>
        </w:tc>
        <w:tc>
          <w:tcPr>
            <w:tcW w:w="68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3.1</w:t>
            </w:r>
          </w:p>
        </w:tc>
        <w:tc>
          <w:tcPr>
            <w:tcW w:w="81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22</w:t>
            </w:r>
          </w:p>
        </w:tc>
        <w:tc>
          <w:tcPr>
            <w:tcW w:w="845" w:type="dxa"/>
            <w:vAlign w:val="center"/>
          </w:tcPr>
          <w:p w:rsidR="003E7477" w:rsidRPr="00A66F1E" w:rsidRDefault="003E7477"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2.4</w:t>
            </w:r>
          </w:p>
        </w:tc>
        <w:tc>
          <w:tcPr>
            <w:tcW w:w="998"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24</w:t>
            </w:r>
          </w:p>
        </w:tc>
        <w:tc>
          <w:tcPr>
            <w:tcW w:w="709"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1.5</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22</w:t>
            </w:r>
          </w:p>
        </w:tc>
        <w:tc>
          <w:tcPr>
            <w:tcW w:w="850"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2.1</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25</w:t>
            </w:r>
          </w:p>
        </w:tc>
        <w:tc>
          <w:tcPr>
            <w:tcW w:w="1134" w:type="dxa"/>
            <w:vAlign w:val="center"/>
          </w:tcPr>
          <w:p w:rsidR="003E7477" w:rsidRPr="00A66F1E" w:rsidRDefault="003E7477" w:rsidP="00A66F1E">
            <w:pPr>
              <w:spacing w:line="360" w:lineRule="auto"/>
              <w:jc w:val="center"/>
              <w:rPr>
                <w:sz w:val="18"/>
                <w:szCs w:val="18"/>
                <w:lang w:val="en-GB" w:eastAsia="ru-RU"/>
              </w:rPr>
            </w:pPr>
            <w:r w:rsidRPr="00A66F1E">
              <w:rPr>
                <w:sz w:val="18"/>
                <w:szCs w:val="18"/>
                <w:lang w:val="en-GB" w:eastAsia="ru-RU"/>
              </w:rPr>
              <w:t>1.7</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33</w:t>
            </w:r>
          </w:p>
        </w:tc>
        <w:tc>
          <w:tcPr>
            <w:tcW w:w="99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2.8</w:t>
            </w:r>
          </w:p>
        </w:tc>
      </w:tr>
      <w:tr w:rsidR="000E231A" w:rsidRPr="00A66F1E" w:rsidTr="003271E0">
        <w:trPr>
          <w:trHeight w:val="783"/>
        </w:trPr>
        <w:tc>
          <w:tcPr>
            <w:tcW w:w="260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Transport</w:t>
            </w:r>
          </w:p>
        </w:tc>
        <w:tc>
          <w:tcPr>
            <w:tcW w:w="987"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w:t>
            </w:r>
          </w:p>
        </w:tc>
        <w:tc>
          <w:tcPr>
            <w:tcW w:w="86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0.03</w:t>
            </w:r>
          </w:p>
        </w:tc>
        <w:tc>
          <w:tcPr>
            <w:tcW w:w="861"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42</w:t>
            </w:r>
          </w:p>
        </w:tc>
        <w:tc>
          <w:tcPr>
            <w:tcW w:w="682" w:type="dxa"/>
            <w:vAlign w:val="center"/>
          </w:tcPr>
          <w:p w:rsidR="003E7477" w:rsidRPr="00A66F1E" w:rsidRDefault="003E7477" w:rsidP="00A66F1E">
            <w:pPr>
              <w:spacing w:line="360" w:lineRule="auto"/>
              <w:jc w:val="center"/>
              <w:rPr>
                <w:sz w:val="18"/>
                <w:szCs w:val="18"/>
                <w:lang w:val="en-GB" w:eastAsia="ru-RU"/>
              </w:rPr>
            </w:pPr>
            <w:r w:rsidRPr="00A66F1E">
              <w:rPr>
                <w:sz w:val="18"/>
                <w:szCs w:val="18"/>
                <w:lang w:val="en-GB" w:eastAsia="ru-RU"/>
              </w:rPr>
              <w:t>5.3</w:t>
            </w:r>
          </w:p>
        </w:tc>
        <w:tc>
          <w:tcPr>
            <w:tcW w:w="81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15</w:t>
            </w:r>
          </w:p>
        </w:tc>
        <w:tc>
          <w:tcPr>
            <w:tcW w:w="845" w:type="dxa"/>
            <w:vAlign w:val="center"/>
          </w:tcPr>
          <w:p w:rsidR="003E7477" w:rsidRPr="00A66F1E" w:rsidRDefault="003E7477" w:rsidP="00A66F1E">
            <w:pPr>
              <w:spacing w:line="360" w:lineRule="auto"/>
              <w:jc w:val="center"/>
              <w:rPr>
                <w:sz w:val="18"/>
                <w:szCs w:val="18"/>
                <w:lang w:val="en-GB"/>
              </w:rPr>
            </w:pPr>
            <w:r w:rsidRPr="00A66F1E">
              <w:rPr>
                <w:sz w:val="18"/>
                <w:szCs w:val="18"/>
                <w:lang w:val="en-GB"/>
              </w:rPr>
              <w:t>1.6</w:t>
            </w:r>
          </w:p>
        </w:tc>
        <w:tc>
          <w:tcPr>
            <w:tcW w:w="998"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21</w:t>
            </w:r>
          </w:p>
        </w:tc>
        <w:tc>
          <w:tcPr>
            <w:tcW w:w="709" w:type="dxa"/>
            <w:vAlign w:val="center"/>
          </w:tcPr>
          <w:p w:rsidR="003E7477" w:rsidRPr="00A66F1E" w:rsidRDefault="003E7477" w:rsidP="00A66F1E">
            <w:pPr>
              <w:pStyle w:val="Default"/>
              <w:spacing w:line="360" w:lineRule="auto"/>
              <w:jc w:val="center"/>
              <w:rPr>
                <w:rFonts w:ascii="Arial" w:hAnsi="Arial" w:cs="Arial"/>
                <w:color w:val="auto"/>
                <w:sz w:val="18"/>
                <w:szCs w:val="18"/>
                <w:lang w:val="en-GB"/>
              </w:rPr>
            </w:pPr>
            <w:r w:rsidRPr="00A66F1E">
              <w:rPr>
                <w:rFonts w:ascii="Arial" w:hAnsi="Arial" w:cs="Arial"/>
                <w:color w:val="auto"/>
                <w:sz w:val="18"/>
                <w:szCs w:val="18"/>
                <w:lang w:val="en-GB"/>
              </w:rPr>
              <w:t>3.6</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52</w:t>
            </w:r>
          </w:p>
        </w:tc>
        <w:tc>
          <w:tcPr>
            <w:tcW w:w="850" w:type="dxa"/>
            <w:vAlign w:val="center"/>
          </w:tcPr>
          <w:p w:rsidR="003E7477" w:rsidRPr="00A66F1E" w:rsidRDefault="003E7477" w:rsidP="00A66F1E">
            <w:pPr>
              <w:pStyle w:val="Default"/>
              <w:spacing w:line="360" w:lineRule="auto"/>
              <w:jc w:val="center"/>
              <w:rPr>
                <w:rFonts w:ascii="Arial" w:hAnsi="Arial" w:cs="Arial"/>
                <w:color w:val="auto"/>
                <w:sz w:val="18"/>
                <w:szCs w:val="18"/>
                <w:lang w:val="en-GB"/>
              </w:rPr>
            </w:pPr>
            <w:r w:rsidRPr="00A66F1E">
              <w:rPr>
                <w:rFonts w:ascii="Arial" w:hAnsi="Arial" w:cs="Arial"/>
                <w:color w:val="auto"/>
                <w:sz w:val="18"/>
                <w:szCs w:val="18"/>
                <w:lang w:val="en-GB"/>
              </w:rPr>
              <w:t>5.1</w:t>
            </w:r>
          </w:p>
        </w:tc>
        <w:tc>
          <w:tcPr>
            <w:tcW w:w="993"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89</w:t>
            </w:r>
          </w:p>
        </w:tc>
        <w:tc>
          <w:tcPr>
            <w:tcW w:w="1134"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6.2</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29</w:t>
            </w:r>
          </w:p>
        </w:tc>
        <w:tc>
          <w:tcPr>
            <w:tcW w:w="99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2.4</w:t>
            </w:r>
          </w:p>
        </w:tc>
      </w:tr>
      <w:tr w:rsidR="000E231A" w:rsidRPr="00A66F1E" w:rsidTr="003271E0">
        <w:trPr>
          <w:trHeight w:val="907"/>
        </w:trPr>
        <w:tc>
          <w:tcPr>
            <w:tcW w:w="260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Dried fruits</w:t>
            </w:r>
          </w:p>
        </w:tc>
        <w:tc>
          <w:tcPr>
            <w:tcW w:w="987"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7</w:t>
            </w:r>
          </w:p>
        </w:tc>
        <w:tc>
          <w:tcPr>
            <w:tcW w:w="86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0.9</w:t>
            </w:r>
          </w:p>
        </w:tc>
        <w:tc>
          <w:tcPr>
            <w:tcW w:w="861"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10</w:t>
            </w:r>
          </w:p>
        </w:tc>
        <w:tc>
          <w:tcPr>
            <w:tcW w:w="68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1.2</w:t>
            </w:r>
          </w:p>
        </w:tc>
        <w:tc>
          <w:tcPr>
            <w:tcW w:w="81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11</w:t>
            </w:r>
          </w:p>
        </w:tc>
        <w:tc>
          <w:tcPr>
            <w:tcW w:w="845" w:type="dxa"/>
            <w:vAlign w:val="center"/>
          </w:tcPr>
          <w:p w:rsidR="003E7477" w:rsidRPr="00A66F1E" w:rsidRDefault="003E7477"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1.1</w:t>
            </w:r>
          </w:p>
        </w:tc>
        <w:tc>
          <w:tcPr>
            <w:tcW w:w="998"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15</w:t>
            </w:r>
          </w:p>
        </w:tc>
        <w:tc>
          <w:tcPr>
            <w:tcW w:w="709"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1.2</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23</w:t>
            </w:r>
          </w:p>
        </w:tc>
        <w:tc>
          <w:tcPr>
            <w:tcW w:w="850"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2.3</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25</w:t>
            </w:r>
          </w:p>
        </w:tc>
        <w:tc>
          <w:tcPr>
            <w:tcW w:w="1134"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1.8</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26</w:t>
            </w:r>
          </w:p>
        </w:tc>
        <w:tc>
          <w:tcPr>
            <w:tcW w:w="992"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2.1</w:t>
            </w:r>
          </w:p>
        </w:tc>
      </w:tr>
    </w:tbl>
    <w:p w:rsidR="003271E0" w:rsidRPr="00A66F1E" w:rsidRDefault="003271E0" w:rsidP="008017BF">
      <w:pPr>
        <w:pStyle w:val="Default"/>
        <w:spacing w:line="360" w:lineRule="auto"/>
        <w:rPr>
          <w:rFonts w:ascii="Arial" w:hAnsi="Arial" w:cs="Arial"/>
          <w:b/>
          <w:szCs w:val="22"/>
          <w:lang w:val="en-GB"/>
        </w:rPr>
      </w:pPr>
    </w:p>
    <w:p w:rsidR="00E332CF" w:rsidRPr="00A66F1E" w:rsidRDefault="00042A7E" w:rsidP="00A66F1E">
      <w:pPr>
        <w:pStyle w:val="Default"/>
        <w:pBdr>
          <w:bottom w:val="single" w:sz="4" w:space="1" w:color="auto"/>
        </w:pBdr>
        <w:spacing w:line="360" w:lineRule="auto"/>
        <w:rPr>
          <w:rFonts w:ascii="Arial" w:hAnsi="Arial" w:cs="Arial"/>
          <w:b/>
          <w:szCs w:val="22"/>
          <w:lang w:val="en-GB"/>
        </w:rPr>
      </w:pPr>
      <w:r w:rsidRPr="00A66F1E">
        <w:rPr>
          <w:rFonts w:ascii="Arial" w:hAnsi="Arial" w:cs="Arial"/>
          <w:b/>
          <w:szCs w:val="22"/>
          <w:lang w:val="en-GB"/>
        </w:rPr>
        <w:lastRenderedPageBreak/>
        <w:t>Turkmenistan</w:t>
      </w:r>
      <w:r>
        <w:rPr>
          <w:rFonts w:ascii="Arial" w:hAnsi="Arial" w:cs="Arial"/>
          <w:b/>
          <w:szCs w:val="22"/>
          <w:lang w:val="en-GB"/>
        </w:rPr>
        <w:t>: Seven</w:t>
      </w:r>
      <w:r w:rsidR="003271E0" w:rsidRPr="00A66F1E">
        <w:rPr>
          <w:rFonts w:ascii="Arial" w:hAnsi="Arial" w:cs="Arial"/>
          <w:b/>
          <w:szCs w:val="22"/>
          <w:lang w:val="en-GB"/>
        </w:rPr>
        <w:t xml:space="preserve"> </w:t>
      </w:r>
      <w:r w:rsidR="003271E0" w:rsidRPr="0028285B">
        <w:rPr>
          <w:rFonts w:ascii="Arial" w:hAnsi="Arial" w:cs="Arial"/>
          <w:b/>
          <w:szCs w:val="22"/>
          <w:lang w:val="en-GB"/>
        </w:rPr>
        <w:t>major export</w:t>
      </w:r>
      <w:r w:rsidR="003271E0" w:rsidRPr="00A66F1E">
        <w:rPr>
          <w:rFonts w:ascii="Arial" w:hAnsi="Arial" w:cs="Arial"/>
          <w:b/>
          <w:szCs w:val="22"/>
          <w:lang w:val="en-GB"/>
        </w:rPr>
        <w:t xml:space="preserve"> i</w:t>
      </w:r>
      <w:r w:rsidR="00E332CF" w:rsidRPr="00A66F1E">
        <w:rPr>
          <w:rFonts w:ascii="Arial" w:hAnsi="Arial" w:cs="Arial"/>
          <w:b/>
          <w:szCs w:val="22"/>
          <w:lang w:val="en-GB"/>
        </w:rPr>
        <w:t xml:space="preserve">tems </w:t>
      </w:r>
      <w:r w:rsidR="005B20D5" w:rsidRPr="00A66F1E">
        <w:rPr>
          <w:rFonts w:ascii="Arial" w:hAnsi="Arial" w:cs="Arial"/>
          <w:b/>
          <w:szCs w:val="22"/>
          <w:lang w:val="en-GB"/>
        </w:rPr>
        <w:t xml:space="preserve">(in </w:t>
      </w:r>
      <w:r w:rsidR="00825F0A">
        <w:rPr>
          <w:rFonts w:ascii="Arial" w:hAnsi="Arial" w:cs="Arial"/>
          <w:b/>
          <w:szCs w:val="22"/>
          <w:lang w:val="en-GB"/>
        </w:rPr>
        <w:t>USD</w:t>
      </w:r>
      <w:r w:rsidR="005B20D5" w:rsidRPr="00A66F1E">
        <w:rPr>
          <w:rFonts w:ascii="Arial" w:hAnsi="Arial" w:cs="Arial"/>
          <w:b/>
          <w:szCs w:val="22"/>
          <w:lang w:val="en-GB"/>
        </w:rPr>
        <w:t xml:space="preserve"> </w:t>
      </w:r>
      <w:r>
        <w:rPr>
          <w:rFonts w:ascii="Arial" w:hAnsi="Arial" w:cs="Arial"/>
          <w:b/>
          <w:szCs w:val="22"/>
          <w:lang w:val="en-GB"/>
        </w:rPr>
        <w:t xml:space="preserve">mill. </w:t>
      </w:r>
      <w:r w:rsidR="005B20D5" w:rsidRPr="00A66F1E">
        <w:rPr>
          <w:rFonts w:ascii="Arial" w:hAnsi="Arial" w:cs="Arial"/>
          <w:b/>
          <w:szCs w:val="22"/>
          <w:lang w:val="en-GB"/>
        </w:rPr>
        <w:t xml:space="preserve">and as </w:t>
      </w:r>
      <w:r w:rsidR="00E332CF" w:rsidRPr="00A66F1E">
        <w:rPr>
          <w:rFonts w:ascii="Arial" w:hAnsi="Arial" w:cs="Arial"/>
          <w:b/>
          <w:szCs w:val="22"/>
          <w:lang w:val="en-GB"/>
        </w:rPr>
        <w:t>percentage of total exports)</w:t>
      </w:r>
      <w:r w:rsidR="003E7477" w:rsidRPr="00A66F1E">
        <w:rPr>
          <w:rStyle w:val="FootnoteReference"/>
          <w:rFonts w:ascii="Arial" w:hAnsi="Arial"/>
          <w:b/>
          <w:szCs w:val="22"/>
          <w:lang w:val="en-GB"/>
        </w:rPr>
        <w:footnoteReference w:id="12"/>
      </w:r>
    </w:p>
    <w:p w:rsidR="003E7477" w:rsidRPr="00A66F1E" w:rsidRDefault="003E7477" w:rsidP="00A66F1E">
      <w:pPr>
        <w:pStyle w:val="Default"/>
        <w:spacing w:line="360" w:lineRule="auto"/>
        <w:rPr>
          <w:rFonts w:ascii="Arial" w:hAnsi="Arial" w:cs="Arial"/>
          <w:b/>
          <w:sz w:val="22"/>
          <w:szCs w:val="22"/>
          <w:lang w:val="en-GB"/>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992"/>
        <w:gridCol w:w="851"/>
        <w:gridCol w:w="850"/>
        <w:gridCol w:w="709"/>
        <w:gridCol w:w="850"/>
        <w:gridCol w:w="757"/>
        <w:gridCol w:w="1086"/>
        <w:gridCol w:w="709"/>
        <w:gridCol w:w="1134"/>
        <w:gridCol w:w="850"/>
        <w:gridCol w:w="993"/>
        <w:gridCol w:w="992"/>
        <w:gridCol w:w="1134"/>
        <w:gridCol w:w="992"/>
      </w:tblGrid>
      <w:tr w:rsidR="003271E0" w:rsidRPr="00A66F1E" w:rsidTr="003271E0">
        <w:trPr>
          <w:trHeight w:val="367"/>
        </w:trPr>
        <w:tc>
          <w:tcPr>
            <w:tcW w:w="2552" w:type="dxa"/>
            <w:vMerge w:val="restart"/>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p>
        </w:tc>
        <w:tc>
          <w:tcPr>
            <w:tcW w:w="1843"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1996</w:t>
            </w:r>
          </w:p>
        </w:tc>
        <w:tc>
          <w:tcPr>
            <w:tcW w:w="1559"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2000</w:t>
            </w:r>
          </w:p>
        </w:tc>
        <w:tc>
          <w:tcPr>
            <w:tcW w:w="1607" w:type="dxa"/>
            <w:gridSpan w:val="2"/>
            <w:vAlign w:val="center"/>
          </w:tcPr>
          <w:p w:rsidR="003271E0" w:rsidRPr="00A66F1E" w:rsidRDefault="003271E0" w:rsidP="00A66F1E">
            <w:pPr>
              <w:pStyle w:val="Default"/>
              <w:spacing w:line="360" w:lineRule="auto"/>
              <w:jc w:val="center"/>
              <w:rPr>
                <w:rFonts w:ascii="Arial" w:hAnsi="Arial" w:cs="Arial"/>
                <w:b/>
                <w:color w:val="auto"/>
                <w:sz w:val="20"/>
                <w:szCs w:val="20"/>
                <w:lang w:val="en-GB" w:eastAsia="ru-RU"/>
              </w:rPr>
            </w:pPr>
            <w:r w:rsidRPr="00A66F1E">
              <w:rPr>
                <w:rFonts w:ascii="Arial" w:hAnsi="Arial" w:cs="Arial"/>
                <w:b/>
                <w:sz w:val="20"/>
                <w:szCs w:val="20"/>
                <w:lang w:val="en-GB" w:eastAsia="ru-RU"/>
              </w:rPr>
              <w:t>2005</w:t>
            </w:r>
          </w:p>
        </w:tc>
        <w:tc>
          <w:tcPr>
            <w:tcW w:w="1795"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color w:val="auto"/>
                <w:sz w:val="20"/>
                <w:szCs w:val="20"/>
                <w:lang w:val="en-GB" w:eastAsia="ru-RU"/>
              </w:rPr>
              <w:t>2008</w:t>
            </w:r>
          </w:p>
        </w:tc>
        <w:tc>
          <w:tcPr>
            <w:tcW w:w="1984"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2009</w:t>
            </w:r>
          </w:p>
        </w:tc>
        <w:tc>
          <w:tcPr>
            <w:tcW w:w="1985"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2010</w:t>
            </w:r>
          </w:p>
        </w:tc>
        <w:tc>
          <w:tcPr>
            <w:tcW w:w="2126" w:type="dxa"/>
            <w:gridSpan w:val="2"/>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2011</w:t>
            </w:r>
          </w:p>
        </w:tc>
      </w:tr>
      <w:tr w:rsidR="003271E0" w:rsidRPr="00A66F1E" w:rsidTr="003271E0">
        <w:trPr>
          <w:trHeight w:val="496"/>
        </w:trPr>
        <w:tc>
          <w:tcPr>
            <w:tcW w:w="2552" w:type="dxa"/>
            <w:vMerge/>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p>
        </w:tc>
        <w:tc>
          <w:tcPr>
            <w:tcW w:w="992"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851"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850"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709"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850"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757" w:type="dxa"/>
            <w:vAlign w:val="center"/>
          </w:tcPr>
          <w:p w:rsidR="003271E0" w:rsidRPr="00A66F1E" w:rsidRDefault="003271E0" w:rsidP="00A66F1E">
            <w:pPr>
              <w:pStyle w:val="Default"/>
              <w:spacing w:line="360" w:lineRule="auto"/>
              <w:jc w:val="center"/>
              <w:rPr>
                <w:rFonts w:ascii="Arial" w:hAnsi="Arial" w:cs="Arial"/>
                <w:b/>
                <w:color w:val="auto"/>
                <w:sz w:val="20"/>
                <w:szCs w:val="20"/>
                <w:lang w:val="en-GB" w:eastAsia="ru-RU"/>
              </w:rPr>
            </w:pPr>
            <w:r w:rsidRPr="00A66F1E">
              <w:rPr>
                <w:rFonts w:ascii="Arial" w:hAnsi="Arial" w:cs="Arial"/>
                <w:b/>
                <w:color w:val="auto"/>
                <w:sz w:val="20"/>
                <w:szCs w:val="20"/>
                <w:lang w:val="en-GB" w:eastAsia="ru-RU"/>
              </w:rPr>
              <w:t>%</w:t>
            </w:r>
          </w:p>
        </w:tc>
        <w:tc>
          <w:tcPr>
            <w:tcW w:w="1086" w:type="dxa"/>
            <w:vAlign w:val="center"/>
          </w:tcPr>
          <w:p w:rsidR="003271E0" w:rsidRPr="00A66F1E" w:rsidRDefault="003271E0" w:rsidP="00A66F1E">
            <w:pPr>
              <w:pStyle w:val="Default"/>
              <w:spacing w:line="360" w:lineRule="auto"/>
              <w:jc w:val="center"/>
              <w:rPr>
                <w:rFonts w:ascii="Arial" w:hAnsi="Arial" w:cs="Arial"/>
                <w:b/>
                <w:color w:val="auto"/>
                <w:sz w:val="20"/>
                <w:szCs w:val="20"/>
                <w:lang w:val="en-GB" w:eastAsia="ru-RU"/>
              </w:rPr>
            </w:pPr>
            <w:r w:rsidRPr="00A66F1E">
              <w:rPr>
                <w:rFonts w:ascii="Arial" w:hAnsi="Arial" w:cs="Arial"/>
                <w:b/>
                <w:sz w:val="20"/>
                <w:szCs w:val="20"/>
                <w:lang w:val="en-GB" w:eastAsia="ru-RU"/>
              </w:rPr>
              <w:t>USD</w:t>
            </w:r>
          </w:p>
        </w:tc>
        <w:tc>
          <w:tcPr>
            <w:tcW w:w="709"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1134"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850"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993"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992"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c>
          <w:tcPr>
            <w:tcW w:w="1134"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USD</w:t>
            </w:r>
          </w:p>
        </w:tc>
        <w:tc>
          <w:tcPr>
            <w:tcW w:w="992" w:type="dxa"/>
            <w:vAlign w:val="center"/>
          </w:tcPr>
          <w:p w:rsidR="003271E0" w:rsidRPr="00A66F1E" w:rsidRDefault="003271E0"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w:t>
            </w:r>
          </w:p>
        </w:tc>
      </w:tr>
      <w:tr w:rsidR="00DF0499" w:rsidRPr="00A66F1E" w:rsidTr="003271E0">
        <w:trPr>
          <w:trHeight w:val="790"/>
        </w:trPr>
        <w:tc>
          <w:tcPr>
            <w:tcW w:w="255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Natural gas</w:t>
            </w:r>
          </w:p>
        </w:tc>
        <w:tc>
          <w:tcPr>
            <w:tcW w:w="992" w:type="dxa"/>
            <w:vAlign w:val="center"/>
          </w:tcPr>
          <w:p w:rsidR="003E7477" w:rsidRPr="00A66F1E" w:rsidRDefault="006878B2" w:rsidP="00A66F1E">
            <w:pPr>
              <w:pStyle w:val="Default"/>
              <w:spacing w:line="360" w:lineRule="auto"/>
              <w:jc w:val="center"/>
              <w:rPr>
                <w:rFonts w:ascii="Arial" w:hAnsi="Arial" w:cs="Arial"/>
                <w:sz w:val="18"/>
                <w:szCs w:val="18"/>
                <w:lang w:val="en-GB" w:eastAsia="ru-RU"/>
              </w:rPr>
            </w:pPr>
            <w:r w:rsidRPr="0028285B">
              <w:rPr>
                <w:rFonts w:ascii="Arial" w:hAnsi="Arial" w:cs="Arial"/>
                <w:sz w:val="18"/>
                <w:szCs w:val="18"/>
                <w:lang w:val="en-GB" w:eastAsia="ru-RU"/>
              </w:rPr>
              <w:t>102</w:t>
            </w:r>
            <w:r w:rsidR="0028285B">
              <w:rPr>
                <w:rFonts w:ascii="Arial" w:hAnsi="Arial" w:cs="Arial"/>
                <w:sz w:val="18"/>
                <w:szCs w:val="18"/>
                <w:lang w:val="en-GB" w:eastAsia="ru-RU"/>
              </w:rPr>
              <w:t>2</w:t>
            </w:r>
          </w:p>
        </w:tc>
        <w:tc>
          <w:tcPr>
            <w:tcW w:w="851" w:type="dxa"/>
            <w:vAlign w:val="center"/>
          </w:tcPr>
          <w:p w:rsidR="003E7477" w:rsidRPr="00A66F1E" w:rsidRDefault="00456D2A"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60.8</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1825</w:t>
            </w:r>
          </w:p>
        </w:tc>
        <w:tc>
          <w:tcPr>
            <w:tcW w:w="709"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47.2</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5509</w:t>
            </w:r>
          </w:p>
        </w:tc>
        <w:tc>
          <w:tcPr>
            <w:tcW w:w="757" w:type="dxa"/>
            <w:vAlign w:val="center"/>
          </w:tcPr>
          <w:p w:rsidR="003E7477" w:rsidRPr="00A66F1E" w:rsidRDefault="003C2DEF"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59.1</w:t>
            </w:r>
          </w:p>
        </w:tc>
        <w:tc>
          <w:tcPr>
            <w:tcW w:w="1086"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274</w:t>
            </w:r>
          </w:p>
        </w:tc>
        <w:tc>
          <w:tcPr>
            <w:tcW w:w="709"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36.4</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70</w:t>
            </w:r>
          </w:p>
        </w:tc>
        <w:tc>
          <w:tcPr>
            <w:tcW w:w="850"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11.7</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389</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32.8</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1244</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49.7</w:t>
            </w:r>
          </w:p>
        </w:tc>
      </w:tr>
      <w:tr w:rsidR="00DF0499" w:rsidRPr="00A66F1E" w:rsidTr="003271E0">
        <w:trPr>
          <w:trHeight w:val="765"/>
        </w:trPr>
        <w:tc>
          <w:tcPr>
            <w:tcW w:w="2552" w:type="dxa"/>
            <w:vAlign w:val="center"/>
          </w:tcPr>
          <w:p w:rsidR="003E7477" w:rsidRPr="00A66F1E" w:rsidRDefault="003E7477" w:rsidP="00042A7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Cotton fib</w:t>
            </w:r>
            <w:r w:rsidR="00042A7E">
              <w:rPr>
                <w:rFonts w:ascii="Arial" w:hAnsi="Arial" w:cs="Arial"/>
                <w:b/>
                <w:sz w:val="20"/>
                <w:szCs w:val="20"/>
                <w:lang w:val="en-GB" w:eastAsia="ru-RU"/>
              </w:rPr>
              <w:t>re</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332</w:t>
            </w:r>
          </w:p>
        </w:tc>
        <w:tc>
          <w:tcPr>
            <w:tcW w:w="851" w:type="dxa"/>
            <w:vAlign w:val="center"/>
          </w:tcPr>
          <w:p w:rsidR="003E7477" w:rsidRPr="00A66F1E" w:rsidRDefault="00456D2A"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19.7</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154</w:t>
            </w:r>
          </w:p>
        </w:tc>
        <w:tc>
          <w:tcPr>
            <w:tcW w:w="709"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122</w:t>
            </w:r>
          </w:p>
        </w:tc>
        <w:tc>
          <w:tcPr>
            <w:tcW w:w="757" w:type="dxa"/>
            <w:vAlign w:val="center"/>
          </w:tcPr>
          <w:p w:rsidR="003E7477" w:rsidRPr="00A66F1E" w:rsidRDefault="003C2DEF"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1.3</w:t>
            </w:r>
          </w:p>
        </w:tc>
        <w:tc>
          <w:tcPr>
            <w:tcW w:w="1086"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84</w:t>
            </w:r>
          </w:p>
        </w:tc>
        <w:tc>
          <w:tcPr>
            <w:tcW w:w="709"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8.6</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136</w:t>
            </w:r>
          </w:p>
        </w:tc>
        <w:tc>
          <w:tcPr>
            <w:tcW w:w="850"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22.8</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210</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17.7</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224</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8.9</w:t>
            </w:r>
          </w:p>
        </w:tc>
      </w:tr>
      <w:tr w:rsidR="00DF0499" w:rsidRPr="00A66F1E" w:rsidTr="003271E0">
        <w:trPr>
          <w:trHeight w:val="1121"/>
        </w:trPr>
        <w:tc>
          <w:tcPr>
            <w:tcW w:w="255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Oil products</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173</w:t>
            </w:r>
          </w:p>
        </w:tc>
        <w:tc>
          <w:tcPr>
            <w:tcW w:w="851" w:type="dxa"/>
            <w:vAlign w:val="center"/>
          </w:tcPr>
          <w:p w:rsidR="003E7477" w:rsidRPr="00A66F1E" w:rsidRDefault="00456D2A"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10.3</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966</w:t>
            </w:r>
          </w:p>
        </w:tc>
        <w:tc>
          <w:tcPr>
            <w:tcW w:w="709" w:type="dxa"/>
            <w:vAlign w:val="center"/>
          </w:tcPr>
          <w:p w:rsidR="003E7477" w:rsidRPr="00A66F1E" w:rsidRDefault="003C2DEF" w:rsidP="00A66F1E">
            <w:pPr>
              <w:spacing w:line="360" w:lineRule="auto"/>
              <w:jc w:val="center"/>
              <w:rPr>
                <w:sz w:val="18"/>
                <w:szCs w:val="18"/>
                <w:lang w:val="en-GB" w:eastAsia="ru-RU"/>
              </w:rPr>
            </w:pPr>
            <w:r w:rsidRPr="00A66F1E">
              <w:rPr>
                <w:sz w:val="18"/>
                <w:szCs w:val="18"/>
                <w:lang w:val="en-GB" w:eastAsia="ru-RU"/>
              </w:rPr>
              <w:t>24.7</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1661</w:t>
            </w:r>
          </w:p>
        </w:tc>
        <w:tc>
          <w:tcPr>
            <w:tcW w:w="757" w:type="dxa"/>
            <w:vAlign w:val="center"/>
          </w:tcPr>
          <w:p w:rsidR="003E7477" w:rsidRPr="00A66F1E" w:rsidRDefault="003C2DEF" w:rsidP="00A66F1E">
            <w:pPr>
              <w:spacing w:line="360" w:lineRule="auto"/>
              <w:jc w:val="center"/>
              <w:rPr>
                <w:sz w:val="18"/>
                <w:szCs w:val="18"/>
                <w:lang w:val="en-GB" w:eastAsia="ru-RU"/>
              </w:rPr>
            </w:pPr>
            <w:r w:rsidRPr="00A66F1E">
              <w:rPr>
                <w:sz w:val="18"/>
                <w:szCs w:val="18"/>
                <w:lang w:val="en-GB" w:eastAsia="ru-RU"/>
              </w:rPr>
              <w:t>17.8</w:t>
            </w:r>
          </w:p>
        </w:tc>
        <w:tc>
          <w:tcPr>
            <w:tcW w:w="1086"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221</w:t>
            </w:r>
          </w:p>
        </w:tc>
        <w:tc>
          <w:tcPr>
            <w:tcW w:w="709" w:type="dxa"/>
            <w:vAlign w:val="center"/>
          </w:tcPr>
          <w:p w:rsidR="003E7477" w:rsidRPr="00A66F1E" w:rsidRDefault="003E747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3.6</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214</w:t>
            </w:r>
          </w:p>
        </w:tc>
        <w:tc>
          <w:tcPr>
            <w:tcW w:w="850"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36.0</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211</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17.7</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513</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20.5</w:t>
            </w:r>
          </w:p>
        </w:tc>
      </w:tr>
      <w:tr w:rsidR="00DF0499" w:rsidRPr="00A66F1E" w:rsidTr="003271E0">
        <w:trPr>
          <w:trHeight w:val="790"/>
        </w:trPr>
        <w:tc>
          <w:tcPr>
            <w:tcW w:w="2552" w:type="dxa"/>
            <w:vAlign w:val="center"/>
          </w:tcPr>
          <w:p w:rsidR="003E7477" w:rsidRPr="00A66F1E" w:rsidRDefault="003E7477" w:rsidP="00A66F1E">
            <w:pPr>
              <w:spacing w:line="360" w:lineRule="auto"/>
              <w:jc w:val="center"/>
              <w:rPr>
                <w:b/>
                <w:sz w:val="20"/>
                <w:szCs w:val="20"/>
                <w:lang w:val="en-GB" w:eastAsia="ru-RU"/>
              </w:rPr>
            </w:pPr>
            <w:r w:rsidRPr="00A66F1E">
              <w:rPr>
                <w:b/>
                <w:sz w:val="20"/>
                <w:szCs w:val="20"/>
                <w:lang w:val="en-GB" w:eastAsia="ru-RU"/>
              </w:rPr>
              <w:t>Crude oil</w:t>
            </w:r>
          </w:p>
        </w:tc>
        <w:tc>
          <w:tcPr>
            <w:tcW w:w="992" w:type="dxa"/>
            <w:vAlign w:val="center"/>
          </w:tcPr>
          <w:p w:rsidR="003E7477" w:rsidRPr="00A66F1E" w:rsidRDefault="00456D2A"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N</w:t>
            </w:r>
            <w:r w:rsidR="003271E0" w:rsidRPr="00A66F1E">
              <w:rPr>
                <w:rFonts w:ascii="Arial" w:hAnsi="Arial" w:cs="Arial"/>
                <w:sz w:val="18"/>
                <w:szCs w:val="18"/>
                <w:lang w:val="en-GB" w:eastAsia="ru-RU"/>
              </w:rPr>
              <w:t>/</w:t>
            </w:r>
            <w:r w:rsidRPr="00A66F1E">
              <w:rPr>
                <w:rFonts w:ascii="Arial" w:hAnsi="Arial" w:cs="Arial"/>
                <w:sz w:val="18"/>
                <w:szCs w:val="18"/>
                <w:lang w:val="en-GB" w:eastAsia="ru-RU"/>
              </w:rPr>
              <w:t>A</w:t>
            </w:r>
          </w:p>
        </w:tc>
        <w:tc>
          <w:tcPr>
            <w:tcW w:w="851" w:type="dxa"/>
            <w:vAlign w:val="center"/>
          </w:tcPr>
          <w:p w:rsidR="003E7477" w:rsidRPr="00A66F1E" w:rsidRDefault="00456D2A"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N</w:t>
            </w:r>
            <w:r w:rsidR="003271E0" w:rsidRPr="00A66F1E">
              <w:rPr>
                <w:rFonts w:ascii="Arial" w:hAnsi="Arial" w:cs="Arial"/>
                <w:sz w:val="18"/>
                <w:szCs w:val="18"/>
                <w:lang w:val="en-GB" w:eastAsia="ru-RU"/>
              </w:rPr>
              <w:t>/</w:t>
            </w:r>
            <w:r w:rsidRPr="00A66F1E">
              <w:rPr>
                <w:rFonts w:ascii="Arial" w:hAnsi="Arial" w:cs="Arial"/>
                <w:sz w:val="18"/>
                <w:szCs w:val="18"/>
                <w:lang w:val="en-GB" w:eastAsia="ru-RU"/>
              </w:rPr>
              <w:t>A</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262</w:t>
            </w:r>
          </w:p>
        </w:tc>
        <w:tc>
          <w:tcPr>
            <w:tcW w:w="709"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6.8</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1400</w:t>
            </w:r>
          </w:p>
        </w:tc>
        <w:tc>
          <w:tcPr>
            <w:tcW w:w="757" w:type="dxa"/>
            <w:vAlign w:val="center"/>
          </w:tcPr>
          <w:p w:rsidR="003E7477" w:rsidRPr="00A66F1E" w:rsidRDefault="003C2DEF"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15</w:t>
            </w:r>
          </w:p>
        </w:tc>
        <w:tc>
          <w:tcPr>
            <w:tcW w:w="1086" w:type="dxa"/>
            <w:vAlign w:val="center"/>
          </w:tcPr>
          <w:p w:rsidR="003E7477" w:rsidRPr="00A66F1E" w:rsidRDefault="003C2DEF"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N</w:t>
            </w:r>
            <w:r w:rsidR="003271E0" w:rsidRPr="00A66F1E">
              <w:rPr>
                <w:rFonts w:ascii="Arial" w:hAnsi="Arial" w:cs="Arial"/>
                <w:color w:val="auto"/>
                <w:sz w:val="18"/>
                <w:szCs w:val="18"/>
                <w:lang w:val="en-GB" w:eastAsia="ru-RU"/>
              </w:rPr>
              <w:t>/</w:t>
            </w:r>
            <w:r w:rsidRPr="00A66F1E">
              <w:rPr>
                <w:rFonts w:ascii="Arial" w:hAnsi="Arial" w:cs="Arial"/>
                <w:color w:val="auto"/>
                <w:sz w:val="18"/>
                <w:szCs w:val="18"/>
                <w:lang w:val="en-GB" w:eastAsia="ru-RU"/>
              </w:rPr>
              <w:t>A</w:t>
            </w:r>
          </w:p>
        </w:tc>
        <w:tc>
          <w:tcPr>
            <w:tcW w:w="709"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N</w:t>
            </w:r>
            <w:r w:rsidR="003271E0" w:rsidRPr="00A66F1E">
              <w:rPr>
                <w:rFonts w:ascii="Arial" w:hAnsi="Arial" w:cs="Arial"/>
                <w:sz w:val="18"/>
                <w:szCs w:val="18"/>
                <w:lang w:val="en-GB" w:eastAsia="ru-RU"/>
              </w:rPr>
              <w:t>/</w:t>
            </w:r>
            <w:r w:rsidRPr="00A66F1E">
              <w:rPr>
                <w:rFonts w:ascii="Arial" w:hAnsi="Arial" w:cs="Arial"/>
                <w:sz w:val="18"/>
                <w:szCs w:val="18"/>
                <w:lang w:val="en-GB" w:eastAsia="ru-RU"/>
              </w:rPr>
              <w:t>A</w:t>
            </w:r>
          </w:p>
        </w:tc>
        <w:tc>
          <w:tcPr>
            <w:tcW w:w="1134"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N</w:t>
            </w:r>
            <w:r w:rsidR="003271E0" w:rsidRPr="00A66F1E">
              <w:rPr>
                <w:rFonts w:ascii="Arial" w:hAnsi="Arial" w:cs="Arial"/>
                <w:sz w:val="18"/>
                <w:szCs w:val="18"/>
                <w:lang w:val="en-GB" w:eastAsia="ru-RU"/>
              </w:rPr>
              <w:t>/</w:t>
            </w:r>
            <w:r w:rsidRPr="00A66F1E">
              <w:rPr>
                <w:rFonts w:ascii="Arial" w:hAnsi="Arial" w:cs="Arial"/>
                <w:sz w:val="18"/>
                <w:szCs w:val="18"/>
                <w:lang w:val="en-GB" w:eastAsia="ru-RU"/>
              </w:rPr>
              <w:t>A</w:t>
            </w:r>
          </w:p>
        </w:tc>
        <w:tc>
          <w:tcPr>
            <w:tcW w:w="850"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N</w:t>
            </w:r>
            <w:r w:rsidR="003271E0" w:rsidRPr="00A66F1E">
              <w:rPr>
                <w:rFonts w:ascii="Arial" w:hAnsi="Arial" w:cs="Arial"/>
                <w:sz w:val="18"/>
                <w:szCs w:val="18"/>
                <w:lang w:val="en-GB" w:eastAsia="ru-RU"/>
              </w:rPr>
              <w:t>/</w:t>
            </w:r>
            <w:r w:rsidRPr="00A66F1E">
              <w:rPr>
                <w:rFonts w:ascii="Arial" w:hAnsi="Arial" w:cs="Arial"/>
                <w:sz w:val="18"/>
                <w:szCs w:val="18"/>
                <w:lang w:val="en-GB" w:eastAsia="ru-RU"/>
              </w:rPr>
              <w:t>A</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142</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11.9</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242</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9.7</w:t>
            </w:r>
          </w:p>
        </w:tc>
      </w:tr>
      <w:tr w:rsidR="00DF0499" w:rsidRPr="00A66F1E" w:rsidTr="003271E0">
        <w:trPr>
          <w:trHeight w:val="993"/>
        </w:trPr>
        <w:tc>
          <w:tcPr>
            <w:tcW w:w="255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Electricity</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58</w:t>
            </w:r>
          </w:p>
        </w:tc>
        <w:tc>
          <w:tcPr>
            <w:tcW w:w="851"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3.4</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29</w:t>
            </w:r>
          </w:p>
        </w:tc>
        <w:tc>
          <w:tcPr>
            <w:tcW w:w="709"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0.8</w:t>
            </w:r>
          </w:p>
        </w:tc>
        <w:tc>
          <w:tcPr>
            <w:tcW w:w="850"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72</w:t>
            </w:r>
          </w:p>
        </w:tc>
        <w:tc>
          <w:tcPr>
            <w:tcW w:w="757" w:type="dxa"/>
            <w:vAlign w:val="center"/>
          </w:tcPr>
          <w:p w:rsidR="003E7477" w:rsidRPr="00A66F1E" w:rsidRDefault="003C2DEF"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0.8</w:t>
            </w:r>
          </w:p>
        </w:tc>
        <w:tc>
          <w:tcPr>
            <w:tcW w:w="1086"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39</w:t>
            </w:r>
          </w:p>
        </w:tc>
        <w:tc>
          <w:tcPr>
            <w:tcW w:w="709"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5.2</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32</w:t>
            </w:r>
          </w:p>
        </w:tc>
        <w:tc>
          <w:tcPr>
            <w:tcW w:w="850"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5.3</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10</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0.8</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16</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0.7</w:t>
            </w:r>
          </w:p>
        </w:tc>
      </w:tr>
      <w:tr w:rsidR="00DF0499" w:rsidRPr="00A66F1E" w:rsidTr="00D64907">
        <w:trPr>
          <w:trHeight w:val="737"/>
        </w:trPr>
        <w:tc>
          <w:tcPr>
            <w:tcW w:w="255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Cotton fabric</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8</w:t>
            </w:r>
          </w:p>
        </w:tc>
        <w:tc>
          <w:tcPr>
            <w:tcW w:w="851"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0.5</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64</w:t>
            </w:r>
          </w:p>
        </w:tc>
        <w:tc>
          <w:tcPr>
            <w:tcW w:w="709"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1.7</w:t>
            </w:r>
          </w:p>
        </w:tc>
        <w:tc>
          <w:tcPr>
            <w:tcW w:w="850"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37</w:t>
            </w:r>
          </w:p>
        </w:tc>
        <w:tc>
          <w:tcPr>
            <w:tcW w:w="757" w:type="dxa"/>
            <w:vAlign w:val="center"/>
          </w:tcPr>
          <w:p w:rsidR="003E7477" w:rsidRPr="00A66F1E" w:rsidRDefault="003C2DEF" w:rsidP="00A66F1E">
            <w:pPr>
              <w:pStyle w:val="Default"/>
              <w:spacing w:line="360" w:lineRule="auto"/>
              <w:jc w:val="center"/>
              <w:rPr>
                <w:rFonts w:ascii="Arial" w:hAnsi="Arial" w:cs="Arial"/>
                <w:color w:val="auto"/>
                <w:sz w:val="18"/>
                <w:szCs w:val="18"/>
                <w:lang w:val="en-GB" w:eastAsia="ru-RU"/>
              </w:rPr>
            </w:pPr>
            <w:r w:rsidRPr="00A66F1E">
              <w:rPr>
                <w:rFonts w:ascii="Arial" w:hAnsi="Arial" w:cs="Arial"/>
                <w:color w:val="auto"/>
                <w:sz w:val="18"/>
                <w:szCs w:val="18"/>
                <w:lang w:val="en-GB" w:eastAsia="ru-RU"/>
              </w:rPr>
              <w:t>0.4</w:t>
            </w:r>
          </w:p>
        </w:tc>
        <w:tc>
          <w:tcPr>
            <w:tcW w:w="1086"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13</w:t>
            </w:r>
          </w:p>
        </w:tc>
        <w:tc>
          <w:tcPr>
            <w:tcW w:w="709"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1.8</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20</w:t>
            </w:r>
          </w:p>
        </w:tc>
        <w:tc>
          <w:tcPr>
            <w:tcW w:w="850"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3.4</w:t>
            </w:r>
          </w:p>
        </w:tc>
        <w:tc>
          <w:tcPr>
            <w:tcW w:w="993"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21</w:t>
            </w:r>
          </w:p>
        </w:tc>
        <w:tc>
          <w:tcPr>
            <w:tcW w:w="992" w:type="dxa"/>
            <w:vAlign w:val="center"/>
          </w:tcPr>
          <w:p w:rsidR="003E7477" w:rsidRPr="00A66F1E" w:rsidRDefault="000C5EA7" w:rsidP="00A66F1E">
            <w:pPr>
              <w:spacing w:line="360" w:lineRule="auto"/>
              <w:jc w:val="center"/>
              <w:rPr>
                <w:sz w:val="18"/>
                <w:szCs w:val="18"/>
                <w:lang w:val="en-GB" w:eastAsia="ru-RU"/>
              </w:rPr>
            </w:pPr>
            <w:r w:rsidRPr="00A66F1E">
              <w:rPr>
                <w:sz w:val="18"/>
                <w:szCs w:val="18"/>
                <w:lang w:val="en-GB" w:eastAsia="ru-RU"/>
              </w:rPr>
              <w:t>1.8</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30</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1.2</w:t>
            </w:r>
          </w:p>
        </w:tc>
      </w:tr>
      <w:tr w:rsidR="00DF0499" w:rsidRPr="00A66F1E" w:rsidTr="003271E0">
        <w:trPr>
          <w:trHeight w:val="707"/>
        </w:trPr>
        <w:tc>
          <w:tcPr>
            <w:tcW w:w="2552" w:type="dxa"/>
            <w:vAlign w:val="center"/>
          </w:tcPr>
          <w:p w:rsidR="003E7477" w:rsidRPr="00A66F1E" w:rsidRDefault="003E7477" w:rsidP="00A66F1E">
            <w:pPr>
              <w:pStyle w:val="Default"/>
              <w:spacing w:line="360" w:lineRule="auto"/>
              <w:jc w:val="center"/>
              <w:rPr>
                <w:rFonts w:ascii="Arial" w:hAnsi="Arial" w:cs="Arial"/>
                <w:b/>
                <w:sz w:val="20"/>
                <w:szCs w:val="20"/>
                <w:lang w:val="en-GB" w:eastAsia="ru-RU"/>
              </w:rPr>
            </w:pPr>
            <w:r w:rsidRPr="00A66F1E">
              <w:rPr>
                <w:rFonts w:ascii="Arial" w:hAnsi="Arial" w:cs="Arial"/>
                <w:b/>
                <w:sz w:val="20"/>
                <w:szCs w:val="20"/>
                <w:lang w:val="en-GB" w:eastAsia="ru-RU"/>
              </w:rPr>
              <w:t>Carpets and other carpet items</w:t>
            </w:r>
          </w:p>
        </w:tc>
        <w:tc>
          <w:tcPr>
            <w:tcW w:w="992"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3</w:t>
            </w:r>
          </w:p>
        </w:tc>
        <w:tc>
          <w:tcPr>
            <w:tcW w:w="851"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0.2</w:t>
            </w:r>
          </w:p>
        </w:tc>
        <w:tc>
          <w:tcPr>
            <w:tcW w:w="850" w:type="dxa"/>
            <w:vAlign w:val="center"/>
          </w:tcPr>
          <w:p w:rsidR="003E7477" w:rsidRPr="00A66F1E" w:rsidRDefault="003C2DEF"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11</w:t>
            </w:r>
          </w:p>
        </w:tc>
        <w:tc>
          <w:tcPr>
            <w:tcW w:w="709" w:type="dxa"/>
            <w:vAlign w:val="center"/>
          </w:tcPr>
          <w:p w:rsidR="003E7477" w:rsidRPr="00A66F1E" w:rsidRDefault="003C2DEF" w:rsidP="00A66F1E">
            <w:pPr>
              <w:spacing w:line="360" w:lineRule="auto"/>
              <w:rPr>
                <w:sz w:val="18"/>
                <w:szCs w:val="18"/>
                <w:lang w:val="en-GB" w:eastAsia="ru-RU"/>
              </w:rPr>
            </w:pPr>
            <w:r w:rsidRPr="00A66F1E">
              <w:rPr>
                <w:sz w:val="18"/>
                <w:szCs w:val="18"/>
                <w:lang w:val="en-GB" w:eastAsia="ru-RU"/>
              </w:rPr>
              <w:t>0.3</w:t>
            </w:r>
          </w:p>
        </w:tc>
        <w:tc>
          <w:tcPr>
            <w:tcW w:w="850" w:type="dxa"/>
            <w:vAlign w:val="center"/>
          </w:tcPr>
          <w:p w:rsidR="003E7477"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w:t>
            </w:r>
            <w:r w:rsidR="003C2DEF" w:rsidRPr="00A66F1E">
              <w:rPr>
                <w:rFonts w:ascii="Arial" w:hAnsi="Arial" w:cs="Arial"/>
                <w:sz w:val="18"/>
                <w:szCs w:val="18"/>
                <w:lang w:val="en-GB" w:eastAsia="ru-RU"/>
              </w:rPr>
              <w:t>2</w:t>
            </w:r>
          </w:p>
        </w:tc>
        <w:tc>
          <w:tcPr>
            <w:tcW w:w="757" w:type="dxa"/>
            <w:vAlign w:val="center"/>
          </w:tcPr>
          <w:p w:rsidR="003E7477" w:rsidRPr="00A66F1E" w:rsidRDefault="003C2DEF" w:rsidP="00A66F1E">
            <w:pPr>
              <w:spacing w:line="360" w:lineRule="auto"/>
              <w:jc w:val="center"/>
              <w:rPr>
                <w:sz w:val="18"/>
                <w:szCs w:val="18"/>
                <w:lang w:val="en-GB"/>
              </w:rPr>
            </w:pPr>
            <w:r w:rsidRPr="00A66F1E">
              <w:rPr>
                <w:sz w:val="18"/>
                <w:szCs w:val="18"/>
                <w:lang w:val="en-GB"/>
              </w:rPr>
              <w:t>0.0</w:t>
            </w:r>
          </w:p>
        </w:tc>
        <w:tc>
          <w:tcPr>
            <w:tcW w:w="1086"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2</w:t>
            </w:r>
          </w:p>
        </w:tc>
        <w:tc>
          <w:tcPr>
            <w:tcW w:w="709" w:type="dxa"/>
            <w:vAlign w:val="center"/>
          </w:tcPr>
          <w:p w:rsidR="003E7477" w:rsidRPr="00A66F1E" w:rsidRDefault="003C2DEF" w:rsidP="00A66F1E">
            <w:pPr>
              <w:pStyle w:val="Default"/>
              <w:spacing w:line="360" w:lineRule="auto"/>
              <w:jc w:val="center"/>
              <w:rPr>
                <w:rFonts w:ascii="Arial" w:hAnsi="Arial" w:cs="Arial"/>
                <w:color w:val="auto"/>
                <w:sz w:val="18"/>
                <w:szCs w:val="18"/>
                <w:lang w:val="en-GB"/>
              </w:rPr>
            </w:pPr>
            <w:r w:rsidRPr="00A66F1E">
              <w:rPr>
                <w:rFonts w:ascii="Arial" w:hAnsi="Arial" w:cs="Arial"/>
                <w:color w:val="auto"/>
                <w:sz w:val="18"/>
                <w:szCs w:val="18"/>
                <w:lang w:val="en-GB"/>
              </w:rPr>
              <w:t>0.3</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7</w:t>
            </w:r>
          </w:p>
        </w:tc>
        <w:tc>
          <w:tcPr>
            <w:tcW w:w="850" w:type="dxa"/>
            <w:vAlign w:val="center"/>
          </w:tcPr>
          <w:p w:rsidR="003E7477" w:rsidRPr="00A66F1E" w:rsidRDefault="003C2DEF" w:rsidP="00A66F1E">
            <w:pPr>
              <w:pStyle w:val="Default"/>
              <w:spacing w:line="360" w:lineRule="auto"/>
              <w:jc w:val="center"/>
              <w:rPr>
                <w:rFonts w:ascii="Arial" w:hAnsi="Arial" w:cs="Arial"/>
                <w:color w:val="auto"/>
                <w:sz w:val="18"/>
                <w:szCs w:val="18"/>
                <w:lang w:val="en-GB"/>
              </w:rPr>
            </w:pPr>
            <w:r w:rsidRPr="00A66F1E">
              <w:rPr>
                <w:rFonts w:ascii="Arial" w:hAnsi="Arial" w:cs="Arial"/>
                <w:color w:val="auto"/>
                <w:sz w:val="18"/>
                <w:szCs w:val="18"/>
                <w:lang w:val="en-GB"/>
              </w:rPr>
              <w:t>1.2</w:t>
            </w:r>
          </w:p>
        </w:tc>
        <w:tc>
          <w:tcPr>
            <w:tcW w:w="993" w:type="dxa"/>
            <w:vAlign w:val="center"/>
          </w:tcPr>
          <w:p w:rsidR="003E7477" w:rsidRPr="00A66F1E" w:rsidRDefault="0028285B" w:rsidP="00A66F1E">
            <w:pPr>
              <w:pStyle w:val="Default"/>
              <w:spacing w:line="360" w:lineRule="auto"/>
              <w:jc w:val="center"/>
              <w:rPr>
                <w:rFonts w:ascii="Arial" w:hAnsi="Arial" w:cs="Arial"/>
                <w:color w:val="auto"/>
                <w:sz w:val="18"/>
                <w:szCs w:val="18"/>
                <w:lang w:val="en-GB" w:eastAsia="ru-RU"/>
              </w:rPr>
            </w:pPr>
            <w:r>
              <w:rPr>
                <w:rFonts w:ascii="Arial" w:hAnsi="Arial" w:cs="Arial"/>
                <w:color w:val="auto"/>
                <w:sz w:val="18"/>
                <w:szCs w:val="18"/>
                <w:lang w:val="en-GB" w:eastAsia="ru-RU"/>
              </w:rPr>
              <w:t>3</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0.3</w:t>
            </w:r>
          </w:p>
        </w:tc>
        <w:tc>
          <w:tcPr>
            <w:tcW w:w="1134" w:type="dxa"/>
            <w:vAlign w:val="center"/>
          </w:tcPr>
          <w:p w:rsidR="003E7477" w:rsidRPr="00A66F1E" w:rsidRDefault="0028285B" w:rsidP="00A66F1E">
            <w:pPr>
              <w:pStyle w:val="Default"/>
              <w:spacing w:line="360" w:lineRule="auto"/>
              <w:jc w:val="center"/>
              <w:rPr>
                <w:rFonts w:ascii="Arial" w:hAnsi="Arial" w:cs="Arial"/>
                <w:sz w:val="18"/>
                <w:szCs w:val="18"/>
                <w:lang w:val="en-GB" w:eastAsia="ru-RU"/>
              </w:rPr>
            </w:pPr>
            <w:r>
              <w:rPr>
                <w:rFonts w:ascii="Arial" w:hAnsi="Arial" w:cs="Arial"/>
                <w:sz w:val="18"/>
                <w:szCs w:val="18"/>
                <w:lang w:val="en-GB" w:eastAsia="ru-RU"/>
              </w:rPr>
              <w:t>2</w:t>
            </w:r>
          </w:p>
        </w:tc>
        <w:tc>
          <w:tcPr>
            <w:tcW w:w="992" w:type="dxa"/>
            <w:vAlign w:val="center"/>
          </w:tcPr>
          <w:p w:rsidR="003E7477" w:rsidRPr="00A66F1E" w:rsidRDefault="000C5EA7"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0.1</w:t>
            </w:r>
          </w:p>
        </w:tc>
      </w:tr>
    </w:tbl>
    <w:p w:rsidR="003E7477" w:rsidRPr="00A66F1E" w:rsidRDefault="003E7477" w:rsidP="00A66F1E">
      <w:pPr>
        <w:pStyle w:val="Default"/>
        <w:spacing w:line="360" w:lineRule="auto"/>
        <w:ind w:left="720"/>
        <w:rPr>
          <w:rFonts w:ascii="Arial" w:hAnsi="Arial" w:cs="Arial"/>
          <w:b/>
          <w:sz w:val="22"/>
          <w:szCs w:val="22"/>
          <w:lang w:val="en-GB"/>
        </w:rPr>
      </w:pPr>
    </w:p>
    <w:p w:rsidR="006878B2" w:rsidRPr="00A66F1E" w:rsidRDefault="006878B2" w:rsidP="008017BF">
      <w:pPr>
        <w:pStyle w:val="Default"/>
        <w:spacing w:line="360" w:lineRule="auto"/>
        <w:rPr>
          <w:rFonts w:ascii="Arial" w:hAnsi="Arial" w:cs="Arial"/>
          <w:b/>
          <w:szCs w:val="22"/>
          <w:lang w:val="en-GB"/>
        </w:rPr>
      </w:pPr>
    </w:p>
    <w:p w:rsidR="0028285B" w:rsidRDefault="0028285B" w:rsidP="00A66F1E">
      <w:pPr>
        <w:pStyle w:val="Default"/>
        <w:pBdr>
          <w:bottom w:val="single" w:sz="4" w:space="1" w:color="auto"/>
        </w:pBdr>
        <w:spacing w:line="360" w:lineRule="auto"/>
        <w:rPr>
          <w:rFonts w:ascii="Arial" w:hAnsi="Arial" w:cs="Arial"/>
          <w:b/>
          <w:szCs w:val="22"/>
          <w:lang w:val="en-GB"/>
        </w:rPr>
      </w:pPr>
    </w:p>
    <w:p w:rsidR="00E332CF" w:rsidRPr="00A66F1E" w:rsidRDefault="00042A7E" w:rsidP="00A66F1E">
      <w:pPr>
        <w:pStyle w:val="Default"/>
        <w:pBdr>
          <w:bottom w:val="single" w:sz="4" w:space="1" w:color="auto"/>
        </w:pBdr>
        <w:spacing w:line="360" w:lineRule="auto"/>
        <w:rPr>
          <w:rFonts w:ascii="Arial" w:hAnsi="Arial" w:cs="Arial"/>
          <w:b/>
          <w:szCs w:val="22"/>
          <w:lang w:val="en-GB"/>
        </w:rPr>
      </w:pPr>
      <w:r w:rsidRPr="00A66F1E">
        <w:rPr>
          <w:rFonts w:ascii="Arial" w:hAnsi="Arial" w:cs="Arial"/>
          <w:b/>
          <w:szCs w:val="22"/>
          <w:lang w:val="en-GB"/>
        </w:rPr>
        <w:lastRenderedPageBreak/>
        <w:t>Uzbekistan</w:t>
      </w:r>
      <w:r>
        <w:rPr>
          <w:rFonts w:ascii="Arial" w:hAnsi="Arial" w:cs="Arial"/>
          <w:b/>
          <w:szCs w:val="22"/>
          <w:lang w:val="en-GB"/>
        </w:rPr>
        <w:t xml:space="preserve">: </w:t>
      </w:r>
      <w:r w:rsidRPr="0028285B">
        <w:rPr>
          <w:rFonts w:ascii="Arial" w:hAnsi="Arial" w:cs="Arial"/>
          <w:b/>
          <w:szCs w:val="22"/>
          <w:lang w:val="en-GB"/>
        </w:rPr>
        <w:t>Eight</w:t>
      </w:r>
      <w:r w:rsidR="003271E0" w:rsidRPr="0028285B">
        <w:rPr>
          <w:rFonts w:ascii="Arial" w:hAnsi="Arial" w:cs="Arial"/>
          <w:b/>
          <w:szCs w:val="22"/>
          <w:lang w:val="en-GB"/>
        </w:rPr>
        <w:t xml:space="preserve"> major</w:t>
      </w:r>
      <w:r w:rsidRPr="0028285B">
        <w:rPr>
          <w:rFonts w:ascii="Arial" w:hAnsi="Arial" w:cs="Arial"/>
          <w:b/>
          <w:szCs w:val="22"/>
          <w:lang w:val="en-GB"/>
        </w:rPr>
        <w:t xml:space="preserve"> </w:t>
      </w:r>
      <w:r w:rsidR="003271E0" w:rsidRPr="0028285B">
        <w:rPr>
          <w:rFonts w:ascii="Arial" w:hAnsi="Arial" w:cs="Arial"/>
          <w:b/>
          <w:szCs w:val="22"/>
          <w:lang w:val="en-GB"/>
        </w:rPr>
        <w:t>export</w:t>
      </w:r>
      <w:r w:rsidR="003271E0" w:rsidRPr="00A66F1E">
        <w:rPr>
          <w:rFonts w:ascii="Arial" w:hAnsi="Arial" w:cs="Arial"/>
          <w:b/>
          <w:szCs w:val="22"/>
          <w:lang w:val="en-GB"/>
        </w:rPr>
        <w:t xml:space="preserve"> i</w:t>
      </w:r>
      <w:r w:rsidR="00E332CF" w:rsidRPr="00A66F1E">
        <w:rPr>
          <w:rFonts w:ascii="Arial" w:hAnsi="Arial" w:cs="Arial"/>
          <w:b/>
          <w:szCs w:val="22"/>
          <w:lang w:val="en-GB"/>
        </w:rPr>
        <w:t>tems</w:t>
      </w:r>
      <w:r w:rsidR="00965A53" w:rsidRPr="00A66F1E">
        <w:rPr>
          <w:rFonts w:ascii="Arial" w:hAnsi="Arial" w:cs="Arial"/>
          <w:b/>
          <w:szCs w:val="22"/>
          <w:lang w:val="en-GB"/>
        </w:rPr>
        <w:t xml:space="preserve"> </w:t>
      </w:r>
      <w:r w:rsidR="00E332CF" w:rsidRPr="00A66F1E">
        <w:rPr>
          <w:rFonts w:ascii="Arial" w:hAnsi="Arial" w:cs="Arial"/>
          <w:b/>
          <w:szCs w:val="22"/>
          <w:lang w:val="en-GB"/>
        </w:rPr>
        <w:t xml:space="preserve">(in </w:t>
      </w:r>
      <w:r w:rsidR="00825F0A">
        <w:rPr>
          <w:rFonts w:ascii="Arial" w:hAnsi="Arial" w:cs="Arial"/>
          <w:b/>
          <w:szCs w:val="22"/>
          <w:lang w:val="en-GB"/>
        </w:rPr>
        <w:t>USD</w:t>
      </w:r>
      <w:r w:rsidR="00E332CF" w:rsidRPr="00A66F1E">
        <w:rPr>
          <w:rFonts w:ascii="Arial" w:hAnsi="Arial" w:cs="Arial"/>
          <w:b/>
          <w:szCs w:val="22"/>
          <w:lang w:val="en-GB"/>
        </w:rPr>
        <w:t xml:space="preserve"> </w:t>
      </w:r>
      <w:r>
        <w:rPr>
          <w:rFonts w:ascii="Arial" w:hAnsi="Arial" w:cs="Arial"/>
          <w:b/>
          <w:szCs w:val="22"/>
          <w:lang w:val="en-GB"/>
        </w:rPr>
        <w:t xml:space="preserve">mill. </w:t>
      </w:r>
      <w:r w:rsidR="00E332CF" w:rsidRPr="00A66F1E">
        <w:rPr>
          <w:rFonts w:ascii="Arial" w:hAnsi="Arial" w:cs="Arial"/>
          <w:b/>
          <w:szCs w:val="22"/>
          <w:lang w:val="en-GB"/>
        </w:rPr>
        <w:t>and as percentage of total exports)</w:t>
      </w:r>
      <w:r w:rsidR="00DF0499" w:rsidRPr="00A66F1E">
        <w:rPr>
          <w:rStyle w:val="FootnoteReference"/>
          <w:rFonts w:ascii="Arial" w:hAnsi="Arial"/>
          <w:b/>
          <w:szCs w:val="22"/>
          <w:lang w:val="en-GB"/>
        </w:rPr>
        <w:footnoteReference w:id="13"/>
      </w:r>
    </w:p>
    <w:p w:rsidR="00E332CF" w:rsidRPr="00A66F1E" w:rsidRDefault="00E332CF" w:rsidP="00A66F1E">
      <w:pPr>
        <w:pStyle w:val="Default"/>
        <w:spacing w:line="360" w:lineRule="auto"/>
        <w:ind w:left="720"/>
        <w:jc w:val="center"/>
        <w:rPr>
          <w:rFonts w:ascii="Arial" w:hAnsi="Arial" w:cs="Arial"/>
          <w:b/>
          <w:sz w:val="22"/>
          <w:szCs w:val="22"/>
          <w:lang w:val="en-GB"/>
        </w:rPr>
      </w:pPr>
    </w:p>
    <w:p w:rsidR="00E332CF" w:rsidRPr="00A66F1E" w:rsidRDefault="00E332CF" w:rsidP="00A66F1E">
      <w:pPr>
        <w:pStyle w:val="Default"/>
        <w:spacing w:line="360" w:lineRule="auto"/>
        <w:rPr>
          <w:rFonts w:ascii="Arial" w:hAnsi="Arial" w:cs="Arial"/>
          <w:sz w:val="18"/>
          <w:szCs w:val="18"/>
          <w:lang w:val="en-GB"/>
        </w:rPr>
      </w:pPr>
    </w:p>
    <w:tbl>
      <w:tblPr>
        <w:tblW w:w="48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2"/>
        <w:gridCol w:w="998"/>
        <w:gridCol w:w="867"/>
        <w:gridCol w:w="807"/>
        <w:gridCol w:w="625"/>
        <w:gridCol w:w="932"/>
        <w:gridCol w:w="792"/>
        <w:gridCol w:w="911"/>
        <w:gridCol w:w="810"/>
        <w:gridCol w:w="1182"/>
        <w:gridCol w:w="884"/>
        <w:gridCol w:w="813"/>
        <w:gridCol w:w="846"/>
        <w:gridCol w:w="995"/>
        <w:gridCol w:w="846"/>
      </w:tblGrid>
      <w:tr w:rsidR="003271E0" w:rsidRPr="00A66F1E" w:rsidTr="0064777E">
        <w:trPr>
          <w:trHeight w:val="632"/>
        </w:trPr>
        <w:tc>
          <w:tcPr>
            <w:tcW w:w="867" w:type="pct"/>
            <w:vMerge w:val="restart"/>
            <w:tcMar>
              <w:left w:w="0" w:type="dxa"/>
              <w:right w:w="0" w:type="dxa"/>
            </w:tcMar>
            <w:vAlign w:val="center"/>
          </w:tcPr>
          <w:p w:rsidR="003271E0" w:rsidRPr="00A66F1E" w:rsidRDefault="003271E0" w:rsidP="00042A7E">
            <w:pPr>
              <w:pStyle w:val="Default"/>
              <w:spacing w:line="360" w:lineRule="auto"/>
              <w:jc w:val="center"/>
              <w:rPr>
                <w:rFonts w:ascii="Arial" w:hAnsi="Arial" w:cs="Arial"/>
                <w:b/>
                <w:sz w:val="20"/>
                <w:szCs w:val="20"/>
                <w:lang w:val="en-GB" w:eastAsia="ru-RU"/>
              </w:rPr>
            </w:pPr>
          </w:p>
        </w:tc>
        <w:tc>
          <w:tcPr>
            <w:tcW w:w="626" w:type="pct"/>
            <w:gridSpan w:val="2"/>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1995</w:t>
            </w:r>
          </w:p>
        </w:tc>
        <w:tc>
          <w:tcPr>
            <w:tcW w:w="481" w:type="pct"/>
            <w:gridSpan w:val="2"/>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2000</w:t>
            </w:r>
          </w:p>
        </w:tc>
        <w:tc>
          <w:tcPr>
            <w:tcW w:w="579" w:type="pct"/>
            <w:gridSpan w:val="2"/>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2005</w:t>
            </w:r>
          </w:p>
        </w:tc>
        <w:tc>
          <w:tcPr>
            <w:tcW w:w="578" w:type="pct"/>
            <w:gridSpan w:val="2"/>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2008</w:t>
            </w:r>
          </w:p>
        </w:tc>
        <w:tc>
          <w:tcPr>
            <w:tcW w:w="694" w:type="pct"/>
            <w:gridSpan w:val="2"/>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2009</w:t>
            </w:r>
          </w:p>
        </w:tc>
        <w:tc>
          <w:tcPr>
            <w:tcW w:w="556" w:type="pct"/>
            <w:gridSpan w:val="2"/>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2010</w:t>
            </w:r>
          </w:p>
        </w:tc>
        <w:tc>
          <w:tcPr>
            <w:tcW w:w="619" w:type="pct"/>
            <w:gridSpan w:val="2"/>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2011</w:t>
            </w:r>
          </w:p>
        </w:tc>
      </w:tr>
      <w:tr w:rsidR="0064777E" w:rsidRPr="00A66F1E" w:rsidTr="0064777E">
        <w:trPr>
          <w:trHeight w:val="658"/>
        </w:trPr>
        <w:tc>
          <w:tcPr>
            <w:tcW w:w="867" w:type="pct"/>
            <w:vMerge/>
            <w:tcMar>
              <w:left w:w="0" w:type="dxa"/>
              <w:right w:w="0" w:type="dxa"/>
            </w:tcMar>
            <w:vAlign w:val="center"/>
          </w:tcPr>
          <w:p w:rsidR="003271E0" w:rsidRPr="00A66F1E" w:rsidRDefault="003271E0" w:rsidP="00A66F1E">
            <w:pPr>
              <w:pStyle w:val="Default"/>
              <w:spacing w:line="360" w:lineRule="auto"/>
              <w:jc w:val="center"/>
              <w:rPr>
                <w:rFonts w:ascii="Arial" w:hAnsi="Arial" w:cs="Arial"/>
                <w:sz w:val="20"/>
                <w:szCs w:val="18"/>
                <w:lang w:val="en-GB" w:eastAsia="ru-RU"/>
              </w:rPr>
            </w:pPr>
          </w:p>
        </w:tc>
        <w:tc>
          <w:tcPr>
            <w:tcW w:w="335"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USD</w:t>
            </w:r>
          </w:p>
        </w:tc>
        <w:tc>
          <w:tcPr>
            <w:tcW w:w="291"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w:t>
            </w:r>
          </w:p>
        </w:tc>
        <w:tc>
          <w:tcPr>
            <w:tcW w:w="271"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USD</w:t>
            </w:r>
          </w:p>
        </w:tc>
        <w:tc>
          <w:tcPr>
            <w:tcW w:w="210"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w:t>
            </w:r>
          </w:p>
        </w:tc>
        <w:tc>
          <w:tcPr>
            <w:tcW w:w="313"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USD</w:t>
            </w:r>
          </w:p>
        </w:tc>
        <w:tc>
          <w:tcPr>
            <w:tcW w:w="266"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w:t>
            </w:r>
          </w:p>
        </w:tc>
        <w:tc>
          <w:tcPr>
            <w:tcW w:w="306"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USD</w:t>
            </w:r>
          </w:p>
        </w:tc>
        <w:tc>
          <w:tcPr>
            <w:tcW w:w="272"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w:t>
            </w:r>
          </w:p>
        </w:tc>
        <w:tc>
          <w:tcPr>
            <w:tcW w:w="397"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USD</w:t>
            </w:r>
          </w:p>
        </w:tc>
        <w:tc>
          <w:tcPr>
            <w:tcW w:w="297"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w:t>
            </w:r>
          </w:p>
        </w:tc>
        <w:tc>
          <w:tcPr>
            <w:tcW w:w="273"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USD</w:t>
            </w:r>
          </w:p>
        </w:tc>
        <w:tc>
          <w:tcPr>
            <w:tcW w:w="284"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w:t>
            </w:r>
          </w:p>
        </w:tc>
        <w:tc>
          <w:tcPr>
            <w:tcW w:w="334"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USD</w:t>
            </w:r>
          </w:p>
        </w:tc>
        <w:tc>
          <w:tcPr>
            <w:tcW w:w="285" w:type="pct"/>
            <w:tcMar>
              <w:left w:w="0" w:type="dxa"/>
              <w:right w:w="0" w:type="dxa"/>
            </w:tcMar>
            <w:vAlign w:val="center"/>
          </w:tcPr>
          <w:p w:rsidR="003271E0" w:rsidRPr="00A66F1E" w:rsidRDefault="003271E0"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w:t>
            </w:r>
          </w:p>
        </w:tc>
      </w:tr>
      <w:tr w:rsidR="0064777E" w:rsidRPr="00A66F1E" w:rsidTr="0064777E">
        <w:trPr>
          <w:trHeight w:hRule="exact" w:val="759"/>
        </w:trPr>
        <w:tc>
          <w:tcPr>
            <w:tcW w:w="867" w:type="pct"/>
            <w:tcMar>
              <w:left w:w="0" w:type="dxa"/>
              <w:right w:w="0" w:type="dxa"/>
            </w:tcMar>
            <w:vAlign w:val="center"/>
          </w:tcPr>
          <w:p w:rsidR="00FD267C" w:rsidRPr="00A66F1E" w:rsidRDefault="0064777E" w:rsidP="00042A7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Cotton f</w:t>
            </w:r>
            <w:r w:rsidR="00FD267C" w:rsidRPr="00A66F1E">
              <w:rPr>
                <w:rFonts w:ascii="Arial" w:hAnsi="Arial" w:cs="Arial"/>
                <w:b/>
                <w:sz w:val="20"/>
                <w:szCs w:val="18"/>
                <w:lang w:val="en-GB" w:eastAsia="ru-RU"/>
              </w:rPr>
              <w:t>ib</w:t>
            </w:r>
            <w:r w:rsidR="00042A7E">
              <w:rPr>
                <w:rFonts w:ascii="Arial" w:hAnsi="Arial" w:cs="Arial"/>
                <w:b/>
                <w:sz w:val="20"/>
                <w:szCs w:val="18"/>
                <w:lang w:val="en-GB" w:eastAsia="ru-RU"/>
              </w:rPr>
              <w:t>re</w:t>
            </w:r>
          </w:p>
        </w:tc>
        <w:tc>
          <w:tcPr>
            <w:tcW w:w="335"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1584</w:t>
            </w:r>
          </w:p>
        </w:tc>
        <w:tc>
          <w:tcPr>
            <w:tcW w:w="291"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46</w:t>
            </w:r>
          </w:p>
        </w:tc>
        <w:tc>
          <w:tcPr>
            <w:tcW w:w="271"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898</w:t>
            </w:r>
          </w:p>
        </w:tc>
        <w:tc>
          <w:tcPr>
            <w:tcW w:w="210"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27.</w:t>
            </w:r>
            <w:r w:rsidR="00FD267C" w:rsidRPr="00A66F1E">
              <w:rPr>
                <w:rFonts w:ascii="Arial" w:hAnsi="Arial" w:cs="Arial"/>
                <w:sz w:val="18"/>
                <w:szCs w:val="18"/>
                <w:lang w:val="en-GB" w:eastAsia="ru-RU"/>
              </w:rPr>
              <w:t>5</w:t>
            </w:r>
          </w:p>
        </w:tc>
        <w:tc>
          <w:tcPr>
            <w:tcW w:w="31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1033</w:t>
            </w:r>
          </w:p>
        </w:tc>
        <w:tc>
          <w:tcPr>
            <w:tcW w:w="266"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19.</w:t>
            </w:r>
            <w:r w:rsidR="00FD267C" w:rsidRPr="00A66F1E">
              <w:rPr>
                <w:rFonts w:ascii="Arial" w:hAnsi="Arial" w:cs="Arial"/>
                <w:sz w:val="18"/>
                <w:szCs w:val="18"/>
                <w:lang w:val="en-GB" w:eastAsia="ru-RU"/>
              </w:rPr>
              <w:t>1</w:t>
            </w:r>
          </w:p>
        </w:tc>
        <w:tc>
          <w:tcPr>
            <w:tcW w:w="306"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1065</w:t>
            </w:r>
          </w:p>
        </w:tc>
        <w:tc>
          <w:tcPr>
            <w:tcW w:w="272"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9.</w:t>
            </w:r>
            <w:r w:rsidR="00FD267C" w:rsidRPr="00A66F1E">
              <w:rPr>
                <w:rStyle w:val="apple-style-span"/>
                <w:rFonts w:ascii="Arial" w:hAnsi="Arial" w:cs="Arial"/>
                <w:sz w:val="18"/>
                <w:szCs w:val="18"/>
                <w:lang w:val="en-GB"/>
              </w:rPr>
              <w:t>3</w:t>
            </w:r>
          </w:p>
        </w:tc>
        <w:tc>
          <w:tcPr>
            <w:tcW w:w="39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1012</w:t>
            </w:r>
          </w:p>
        </w:tc>
        <w:tc>
          <w:tcPr>
            <w:tcW w:w="29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8.6</w:t>
            </w:r>
          </w:p>
        </w:tc>
        <w:tc>
          <w:tcPr>
            <w:tcW w:w="27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1 479</w:t>
            </w:r>
          </w:p>
        </w:tc>
        <w:tc>
          <w:tcPr>
            <w:tcW w:w="284"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11.</w:t>
            </w:r>
            <w:r w:rsidR="00FD267C" w:rsidRPr="00A66F1E">
              <w:rPr>
                <w:rStyle w:val="apple-style-span"/>
                <w:rFonts w:ascii="Arial" w:hAnsi="Arial" w:cs="Arial"/>
                <w:sz w:val="18"/>
                <w:szCs w:val="18"/>
                <w:lang w:val="en-GB"/>
              </w:rPr>
              <w:t>3</w:t>
            </w:r>
          </w:p>
        </w:tc>
        <w:tc>
          <w:tcPr>
            <w:tcW w:w="334"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1348</w:t>
            </w:r>
          </w:p>
        </w:tc>
        <w:tc>
          <w:tcPr>
            <w:tcW w:w="285"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9.</w:t>
            </w:r>
            <w:r w:rsidR="00FD267C" w:rsidRPr="00A66F1E">
              <w:rPr>
                <w:rStyle w:val="apple-style-span"/>
                <w:rFonts w:ascii="Arial" w:hAnsi="Arial" w:cs="Arial"/>
                <w:sz w:val="18"/>
                <w:szCs w:val="18"/>
                <w:lang w:val="en-GB"/>
              </w:rPr>
              <w:t>0</w:t>
            </w:r>
          </w:p>
        </w:tc>
      </w:tr>
      <w:tr w:rsidR="0064777E" w:rsidRPr="00A66F1E" w:rsidTr="0064777E">
        <w:trPr>
          <w:trHeight w:hRule="exact" w:val="721"/>
        </w:trPr>
        <w:tc>
          <w:tcPr>
            <w:tcW w:w="867" w:type="pct"/>
            <w:tcMar>
              <w:left w:w="0" w:type="dxa"/>
              <w:right w:w="0" w:type="dxa"/>
            </w:tcMar>
            <w:vAlign w:val="center"/>
          </w:tcPr>
          <w:p w:rsidR="00FD267C" w:rsidRPr="00A66F1E" w:rsidRDefault="0064777E"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Food p</w:t>
            </w:r>
            <w:r w:rsidR="00FD267C" w:rsidRPr="00A66F1E">
              <w:rPr>
                <w:rFonts w:ascii="Arial" w:hAnsi="Arial" w:cs="Arial"/>
                <w:b/>
                <w:sz w:val="20"/>
                <w:szCs w:val="18"/>
                <w:lang w:val="en-GB" w:eastAsia="ru-RU"/>
              </w:rPr>
              <w:t>roducts</w:t>
            </w:r>
          </w:p>
        </w:tc>
        <w:tc>
          <w:tcPr>
            <w:tcW w:w="335"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80</w:t>
            </w:r>
          </w:p>
        </w:tc>
        <w:tc>
          <w:tcPr>
            <w:tcW w:w="291"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w:t>
            </w:r>
            <w:r w:rsidR="00FD267C" w:rsidRPr="00A66F1E">
              <w:rPr>
                <w:rFonts w:ascii="Arial" w:hAnsi="Arial" w:cs="Arial"/>
                <w:sz w:val="18"/>
                <w:szCs w:val="18"/>
                <w:lang w:val="en-GB" w:eastAsia="ru-RU"/>
              </w:rPr>
              <w:t>3</w:t>
            </w:r>
          </w:p>
        </w:tc>
        <w:tc>
          <w:tcPr>
            <w:tcW w:w="271"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176</w:t>
            </w:r>
          </w:p>
        </w:tc>
        <w:tc>
          <w:tcPr>
            <w:tcW w:w="210"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w:t>
            </w:r>
            <w:r w:rsidR="00FD267C" w:rsidRPr="00A66F1E">
              <w:rPr>
                <w:rFonts w:ascii="Arial" w:hAnsi="Arial" w:cs="Arial"/>
                <w:sz w:val="18"/>
                <w:szCs w:val="18"/>
                <w:lang w:val="en-GB" w:eastAsia="ru-RU"/>
              </w:rPr>
              <w:t>4</w:t>
            </w:r>
          </w:p>
        </w:tc>
        <w:tc>
          <w:tcPr>
            <w:tcW w:w="31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206</w:t>
            </w:r>
          </w:p>
        </w:tc>
        <w:tc>
          <w:tcPr>
            <w:tcW w:w="266"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FD267C" w:rsidRPr="00A66F1E">
              <w:rPr>
                <w:rFonts w:ascii="Arial" w:hAnsi="Arial" w:cs="Arial"/>
                <w:sz w:val="18"/>
                <w:szCs w:val="18"/>
                <w:lang w:val="en-GB" w:eastAsia="ru-RU"/>
              </w:rPr>
              <w:t>8</w:t>
            </w:r>
          </w:p>
        </w:tc>
        <w:tc>
          <w:tcPr>
            <w:tcW w:w="306"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509</w:t>
            </w:r>
          </w:p>
        </w:tc>
        <w:tc>
          <w:tcPr>
            <w:tcW w:w="272"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4.</w:t>
            </w:r>
            <w:r w:rsidR="00FD267C" w:rsidRPr="00A66F1E">
              <w:rPr>
                <w:rStyle w:val="apple-style-span"/>
                <w:rFonts w:ascii="Arial" w:hAnsi="Arial" w:cs="Arial"/>
                <w:sz w:val="18"/>
                <w:szCs w:val="18"/>
                <w:lang w:val="en-GB"/>
              </w:rPr>
              <w:t>5</w:t>
            </w:r>
          </w:p>
        </w:tc>
        <w:tc>
          <w:tcPr>
            <w:tcW w:w="39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706</w:t>
            </w:r>
          </w:p>
        </w:tc>
        <w:tc>
          <w:tcPr>
            <w:tcW w:w="297"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w:t>
            </w:r>
            <w:r w:rsidR="00FD267C" w:rsidRPr="00A66F1E">
              <w:rPr>
                <w:rFonts w:ascii="Arial" w:hAnsi="Arial" w:cs="Arial"/>
                <w:sz w:val="18"/>
                <w:szCs w:val="18"/>
                <w:lang w:val="en-GB" w:eastAsia="ru-RU"/>
              </w:rPr>
              <w:t>0</w:t>
            </w:r>
          </w:p>
        </w:tc>
        <w:tc>
          <w:tcPr>
            <w:tcW w:w="27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1 261</w:t>
            </w:r>
          </w:p>
        </w:tc>
        <w:tc>
          <w:tcPr>
            <w:tcW w:w="284"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9.</w:t>
            </w:r>
            <w:r w:rsidR="00FD267C" w:rsidRPr="00A66F1E">
              <w:rPr>
                <w:rStyle w:val="apple-style-span"/>
                <w:rFonts w:ascii="Arial" w:hAnsi="Arial" w:cs="Arial"/>
                <w:sz w:val="18"/>
                <w:szCs w:val="18"/>
                <w:lang w:val="en-GB"/>
              </w:rPr>
              <w:t>7</w:t>
            </w:r>
          </w:p>
        </w:tc>
        <w:tc>
          <w:tcPr>
            <w:tcW w:w="334"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1 990</w:t>
            </w:r>
          </w:p>
        </w:tc>
        <w:tc>
          <w:tcPr>
            <w:tcW w:w="285"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13.</w:t>
            </w:r>
            <w:r w:rsidR="00FD267C" w:rsidRPr="00A66F1E">
              <w:rPr>
                <w:rStyle w:val="apple-style-span"/>
                <w:rFonts w:ascii="Arial" w:hAnsi="Arial" w:cs="Arial"/>
                <w:sz w:val="18"/>
                <w:szCs w:val="18"/>
                <w:lang w:val="en-GB"/>
              </w:rPr>
              <w:t>2</w:t>
            </w:r>
          </w:p>
        </w:tc>
      </w:tr>
      <w:tr w:rsidR="0064777E" w:rsidRPr="00A66F1E" w:rsidTr="0064777E">
        <w:trPr>
          <w:trHeight w:hRule="exact" w:val="806"/>
        </w:trPr>
        <w:tc>
          <w:tcPr>
            <w:tcW w:w="86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 xml:space="preserve">Chemical industry </w:t>
            </w:r>
            <w:r w:rsidR="00954E84" w:rsidRPr="00A66F1E">
              <w:rPr>
                <w:rFonts w:ascii="Arial" w:hAnsi="Arial" w:cs="Arial"/>
                <w:b/>
                <w:sz w:val="20"/>
                <w:szCs w:val="18"/>
                <w:lang w:val="en-GB" w:eastAsia="ru-RU"/>
              </w:rPr>
              <w:t xml:space="preserve">     </w:t>
            </w:r>
            <w:r w:rsidRPr="00A66F1E">
              <w:rPr>
                <w:rFonts w:ascii="Arial" w:hAnsi="Arial" w:cs="Arial"/>
                <w:b/>
                <w:sz w:val="20"/>
                <w:szCs w:val="18"/>
                <w:lang w:val="en-GB" w:eastAsia="ru-RU"/>
              </w:rPr>
              <w:t>products</w:t>
            </w:r>
          </w:p>
        </w:tc>
        <w:tc>
          <w:tcPr>
            <w:tcW w:w="335"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122</w:t>
            </w:r>
          </w:p>
        </w:tc>
        <w:tc>
          <w:tcPr>
            <w:tcW w:w="291"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FD267C" w:rsidRPr="00A66F1E">
              <w:rPr>
                <w:rFonts w:ascii="Arial" w:hAnsi="Arial" w:cs="Arial"/>
                <w:sz w:val="18"/>
                <w:szCs w:val="18"/>
                <w:lang w:val="en-GB" w:eastAsia="ru-RU"/>
              </w:rPr>
              <w:t>5</w:t>
            </w:r>
          </w:p>
        </w:tc>
        <w:tc>
          <w:tcPr>
            <w:tcW w:w="271"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95</w:t>
            </w:r>
          </w:p>
        </w:tc>
        <w:tc>
          <w:tcPr>
            <w:tcW w:w="210"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w:t>
            </w:r>
            <w:r w:rsidR="00FD267C" w:rsidRPr="00A66F1E">
              <w:rPr>
                <w:rFonts w:ascii="Arial" w:hAnsi="Arial" w:cs="Arial"/>
                <w:sz w:val="18"/>
                <w:szCs w:val="18"/>
                <w:lang w:val="en-GB" w:eastAsia="ru-RU"/>
              </w:rPr>
              <w:t>9</w:t>
            </w:r>
          </w:p>
        </w:tc>
        <w:tc>
          <w:tcPr>
            <w:tcW w:w="31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287</w:t>
            </w:r>
          </w:p>
        </w:tc>
        <w:tc>
          <w:tcPr>
            <w:tcW w:w="266"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w:t>
            </w:r>
            <w:r w:rsidR="00FD267C" w:rsidRPr="00A66F1E">
              <w:rPr>
                <w:rFonts w:ascii="Arial" w:hAnsi="Arial" w:cs="Arial"/>
                <w:sz w:val="18"/>
                <w:szCs w:val="18"/>
                <w:lang w:val="en-GB" w:eastAsia="ru-RU"/>
              </w:rPr>
              <w:t>3</w:t>
            </w:r>
          </w:p>
        </w:tc>
        <w:tc>
          <w:tcPr>
            <w:tcW w:w="306"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648</w:t>
            </w:r>
          </w:p>
        </w:tc>
        <w:tc>
          <w:tcPr>
            <w:tcW w:w="272"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5.</w:t>
            </w:r>
            <w:r w:rsidR="00FD267C" w:rsidRPr="00A66F1E">
              <w:rPr>
                <w:rStyle w:val="apple-style-span"/>
                <w:rFonts w:ascii="Arial" w:hAnsi="Arial" w:cs="Arial"/>
                <w:sz w:val="18"/>
                <w:szCs w:val="18"/>
                <w:lang w:val="en-GB"/>
              </w:rPr>
              <w:t>6</w:t>
            </w:r>
          </w:p>
        </w:tc>
        <w:tc>
          <w:tcPr>
            <w:tcW w:w="39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589</w:t>
            </w:r>
          </w:p>
        </w:tc>
        <w:tc>
          <w:tcPr>
            <w:tcW w:w="297"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w:t>
            </w:r>
            <w:r w:rsidR="00FD267C" w:rsidRPr="00A66F1E">
              <w:rPr>
                <w:rFonts w:ascii="Arial" w:hAnsi="Arial" w:cs="Arial"/>
                <w:sz w:val="18"/>
                <w:szCs w:val="18"/>
                <w:lang w:val="en-GB" w:eastAsia="ru-RU"/>
              </w:rPr>
              <w:t>0</w:t>
            </w:r>
          </w:p>
        </w:tc>
        <w:tc>
          <w:tcPr>
            <w:tcW w:w="27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1 177</w:t>
            </w:r>
          </w:p>
        </w:tc>
        <w:tc>
          <w:tcPr>
            <w:tcW w:w="284"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9.</w:t>
            </w:r>
            <w:r w:rsidR="00FD267C" w:rsidRPr="00A66F1E">
              <w:rPr>
                <w:rStyle w:val="apple-style-span"/>
                <w:rFonts w:ascii="Arial" w:hAnsi="Arial" w:cs="Arial"/>
                <w:sz w:val="18"/>
                <w:szCs w:val="18"/>
                <w:lang w:val="en-GB"/>
              </w:rPr>
              <w:t>0</w:t>
            </w:r>
          </w:p>
        </w:tc>
        <w:tc>
          <w:tcPr>
            <w:tcW w:w="334"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838</w:t>
            </w:r>
          </w:p>
        </w:tc>
        <w:tc>
          <w:tcPr>
            <w:tcW w:w="285"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5.</w:t>
            </w:r>
            <w:r w:rsidR="00FD267C" w:rsidRPr="00A66F1E">
              <w:rPr>
                <w:rStyle w:val="apple-style-span"/>
                <w:rFonts w:ascii="Arial" w:hAnsi="Arial" w:cs="Arial"/>
                <w:sz w:val="18"/>
                <w:szCs w:val="18"/>
                <w:lang w:val="en-GB"/>
              </w:rPr>
              <w:t>6</w:t>
            </w:r>
          </w:p>
        </w:tc>
      </w:tr>
      <w:tr w:rsidR="0064777E" w:rsidRPr="00A66F1E" w:rsidTr="0064777E">
        <w:trPr>
          <w:trHeight w:hRule="exact" w:val="1066"/>
        </w:trPr>
        <w:tc>
          <w:tcPr>
            <w:tcW w:w="86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Energy and petrochemicals</w:t>
            </w:r>
          </w:p>
        </w:tc>
        <w:tc>
          <w:tcPr>
            <w:tcW w:w="335"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436</w:t>
            </w:r>
          </w:p>
        </w:tc>
        <w:tc>
          <w:tcPr>
            <w:tcW w:w="291"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12.</w:t>
            </w:r>
            <w:r w:rsidR="00FD267C" w:rsidRPr="00A66F1E">
              <w:rPr>
                <w:rFonts w:ascii="Arial" w:hAnsi="Arial" w:cs="Arial"/>
                <w:sz w:val="18"/>
                <w:szCs w:val="18"/>
                <w:lang w:val="en-GB" w:eastAsia="ru-RU"/>
              </w:rPr>
              <w:t>5</w:t>
            </w:r>
          </w:p>
        </w:tc>
        <w:tc>
          <w:tcPr>
            <w:tcW w:w="271"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336</w:t>
            </w:r>
          </w:p>
        </w:tc>
        <w:tc>
          <w:tcPr>
            <w:tcW w:w="210"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10.</w:t>
            </w:r>
            <w:r w:rsidR="00FD267C" w:rsidRPr="00A66F1E">
              <w:rPr>
                <w:rFonts w:ascii="Arial" w:hAnsi="Arial" w:cs="Arial"/>
                <w:sz w:val="18"/>
                <w:szCs w:val="18"/>
                <w:lang w:val="en-GB" w:eastAsia="ru-RU"/>
              </w:rPr>
              <w:t>3</w:t>
            </w:r>
          </w:p>
        </w:tc>
        <w:tc>
          <w:tcPr>
            <w:tcW w:w="31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622</w:t>
            </w:r>
          </w:p>
        </w:tc>
        <w:tc>
          <w:tcPr>
            <w:tcW w:w="266"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11.</w:t>
            </w:r>
            <w:r w:rsidR="00FD267C" w:rsidRPr="00A66F1E">
              <w:rPr>
                <w:rFonts w:ascii="Arial" w:hAnsi="Arial" w:cs="Arial"/>
                <w:sz w:val="18"/>
                <w:szCs w:val="18"/>
                <w:lang w:val="en-GB" w:eastAsia="ru-RU"/>
              </w:rPr>
              <w:t>5</w:t>
            </w:r>
          </w:p>
        </w:tc>
        <w:tc>
          <w:tcPr>
            <w:tcW w:w="306"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2916</w:t>
            </w:r>
          </w:p>
        </w:tc>
        <w:tc>
          <w:tcPr>
            <w:tcW w:w="272"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24.</w:t>
            </w:r>
            <w:r w:rsidR="00FD267C" w:rsidRPr="00A66F1E">
              <w:rPr>
                <w:rStyle w:val="apple-style-span"/>
                <w:rFonts w:ascii="Arial" w:hAnsi="Arial" w:cs="Arial"/>
                <w:sz w:val="18"/>
                <w:szCs w:val="18"/>
                <w:lang w:val="en-GB"/>
              </w:rPr>
              <w:t>7</w:t>
            </w:r>
          </w:p>
        </w:tc>
        <w:tc>
          <w:tcPr>
            <w:tcW w:w="39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4026</w:t>
            </w:r>
          </w:p>
        </w:tc>
        <w:tc>
          <w:tcPr>
            <w:tcW w:w="297"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34.</w:t>
            </w:r>
            <w:r w:rsidR="00FD267C" w:rsidRPr="00A66F1E">
              <w:rPr>
                <w:rFonts w:ascii="Arial" w:hAnsi="Arial" w:cs="Arial"/>
                <w:sz w:val="18"/>
                <w:szCs w:val="18"/>
                <w:lang w:val="en-GB" w:eastAsia="ru-RU"/>
              </w:rPr>
              <w:t>2</w:t>
            </w:r>
          </w:p>
        </w:tc>
        <w:tc>
          <w:tcPr>
            <w:tcW w:w="27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660</w:t>
            </w:r>
          </w:p>
        </w:tc>
        <w:tc>
          <w:tcPr>
            <w:tcW w:w="284"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5.</w:t>
            </w:r>
            <w:r w:rsidR="00FD267C" w:rsidRPr="00A66F1E">
              <w:rPr>
                <w:rStyle w:val="apple-style-span"/>
                <w:rFonts w:ascii="Arial" w:hAnsi="Arial" w:cs="Arial"/>
                <w:sz w:val="18"/>
                <w:szCs w:val="18"/>
                <w:lang w:val="en-GB"/>
              </w:rPr>
              <w:t>1</w:t>
            </w:r>
          </w:p>
        </w:tc>
        <w:tc>
          <w:tcPr>
            <w:tcW w:w="334"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2780</w:t>
            </w:r>
          </w:p>
        </w:tc>
        <w:tc>
          <w:tcPr>
            <w:tcW w:w="285"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18.</w:t>
            </w:r>
            <w:r w:rsidR="00FD267C" w:rsidRPr="00A66F1E">
              <w:rPr>
                <w:rStyle w:val="apple-style-span"/>
                <w:rFonts w:ascii="Arial" w:hAnsi="Arial" w:cs="Arial"/>
                <w:sz w:val="18"/>
                <w:szCs w:val="18"/>
                <w:lang w:val="en-GB"/>
              </w:rPr>
              <w:t>5</w:t>
            </w:r>
          </w:p>
        </w:tc>
      </w:tr>
      <w:tr w:rsidR="0064777E" w:rsidRPr="00A66F1E" w:rsidTr="0064777E">
        <w:trPr>
          <w:trHeight w:hRule="exact" w:val="1066"/>
        </w:trPr>
        <w:tc>
          <w:tcPr>
            <w:tcW w:w="86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Ferrous and non-</w:t>
            </w:r>
            <w:r w:rsidR="00954E84" w:rsidRPr="00A66F1E">
              <w:rPr>
                <w:rFonts w:ascii="Arial" w:hAnsi="Arial" w:cs="Arial"/>
                <w:b/>
                <w:sz w:val="20"/>
                <w:szCs w:val="18"/>
                <w:lang w:val="en-GB" w:eastAsia="ru-RU"/>
              </w:rPr>
              <w:t xml:space="preserve"> </w:t>
            </w:r>
            <w:r w:rsidRPr="00A66F1E">
              <w:rPr>
                <w:rFonts w:ascii="Arial" w:hAnsi="Arial" w:cs="Arial"/>
                <w:b/>
                <w:sz w:val="20"/>
                <w:szCs w:val="18"/>
                <w:lang w:val="en-GB" w:eastAsia="ru-RU"/>
              </w:rPr>
              <w:t>ferrous metals</w:t>
            </w:r>
          </w:p>
        </w:tc>
        <w:tc>
          <w:tcPr>
            <w:tcW w:w="335"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163</w:t>
            </w:r>
          </w:p>
        </w:tc>
        <w:tc>
          <w:tcPr>
            <w:tcW w:w="291"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w:t>
            </w:r>
            <w:r w:rsidR="00FD267C" w:rsidRPr="00A66F1E">
              <w:rPr>
                <w:rFonts w:ascii="Arial" w:hAnsi="Arial" w:cs="Arial"/>
                <w:sz w:val="18"/>
                <w:szCs w:val="18"/>
                <w:lang w:val="en-GB" w:eastAsia="ru-RU"/>
              </w:rPr>
              <w:t>7</w:t>
            </w:r>
          </w:p>
        </w:tc>
        <w:tc>
          <w:tcPr>
            <w:tcW w:w="271"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216</w:t>
            </w:r>
          </w:p>
        </w:tc>
        <w:tc>
          <w:tcPr>
            <w:tcW w:w="210"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w:t>
            </w:r>
            <w:r w:rsidR="00FD267C" w:rsidRPr="00A66F1E">
              <w:rPr>
                <w:rFonts w:ascii="Arial" w:hAnsi="Arial" w:cs="Arial"/>
                <w:sz w:val="18"/>
                <w:szCs w:val="18"/>
                <w:lang w:val="en-GB" w:eastAsia="ru-RU"/>
              </w:rPr>
              <w:t>6</w:t>
            </w:r>
          </w:p>
        </w:tc>
        <w:tc>
          <w:tcPr>
            <w:tcW w:w="31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692</w:t>
            </w:r>
          </w:p>
        </w:tc>
        <w:tc>
          <w:tcPr>
            <w:tcW w:w="266"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12.</w:t>
            </w:r>
            <w:r w:rsidR="00FD267C" w:rsidRPr="00A66F1E">
              <w:rPr>
                <w:rFonts w:ascii="Arial" w:hAnsi="Arial" w:cs="Arial"/>
                <w:sz w:val="18"/>
                <w:szCs w:val="18"/>
                <w:lang w:val="en-GB" w:eastAsia="ru-RU"/>
              </w:rPr>
              <w:t>8</w:t>
            </w:r>
          </w:p>
        </w:tc>
        <w:tc>
          <w:tcPr>
            <w:tcW w:w="306"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787</w:t>
            </w:r>
          </w:p>
        </w:tc>
        <w:tc>
          <w:tcPr>
            <w:tcW w:w="272"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7.</w:t>
            </w:r>
            <w:r w:rsidR="00FD267C" w:rsidRPr="00A66F1E">
              <w:rPr>
                <w:rStyle w:val="apple-style-span"/>
                <w:rFonts w:ascii="Arial" w:hAnsi="Arial" w:cs="Arial"/>
                <w:sz w:val="18"/>
                <w:szCs w:val="18"/>
                <w:lang w:val="en-GB"/>
              </w:rPr>
              <w:t>0</w:t>
            </w:r>
          </w:p>
        </w:tc>
        <w:tc>
          <w:tcPr>
            <w:tcW w:w="397" w:type="pct"/>
            <w:tcMar>
              <w:left w:w="0" w:type="dxa"/>
              <w:right w:w="0" w:type="dxa"/>
            </w:tcMar>
            <w:vAlign w:val="center"/>
          </w:tcPr>
          <w:p w:rsidR="00FD267C" w:rsidRPr="00A66F1E" w:rsidRDefault="003271E0"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589</w:t>
            </w:r>
          </w:p>
        </w:tc>
        <w:tc>
          <w:tcPr>
            <w:tcW w:w="297"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5.</w:t>
            </w:r>
            <w:r w:rsidR="00FD267C" w:rsidRPr="00A66F1E">
              <w:rPr>
                <w:rFonts w:ascii="Arial" w:hAnsi="Arial" w:cs="Arial"/>
                <w:sz w:val="18"/>
                <w:szCs w:val="18"/>
                <w:lang w:val="en-GB" w:eastAsia="ru-RU"/>
              </w:rPr>
              <w:t>0</w:t>
            </w:r>
          </w:p>
        </w:tc>
        <w:tc>
          <w:tcPr>
            <w:tcW w:w="27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3 235</w:t>
            </w:r>
          </w:p>
        </w:tc>
        <w:tc>
          <w:tcPr>
            <w:tcW w:w="284"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24.</w:t>
            </w:r>
            <w:r w:rsidR="00FD267C" w:rsidRPr="00A66F1E">
              <w:rPr>
                <w:rStyle w:val="apple-style-span"/>
                <w:rFonts w:ascii="Arial" w:hAnsi="Arial" w:cs="Arial"/>
                <w:sz w:val="18"/>
                <w:szCs w:val="18"/>
                <w:lang w:val="en-GB"/>
              </w:rPr>
              <w:t>8</w:t>
            </w:r>
          </w:p>
        </w:tc>
        <w:tc>
          <w:tcPr>
            <w:tcW w:w="334"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1 116</w:t>
            </w:r>
          </w:p>
        </w:tc>
        <w:tc>
          <w:tcPr>
            <w:tcW w:w="285"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7.</w:t>
            </w:r>
            <w:r w:rsidR="00FD267C" w:rsidRPr="00A66F1E">
              <w:rPr>
                <w:rStyle w:val="apple-style-span"/>
                <w:rFonts w:ascii="Arial" w:hAnsi="Arial" w:cs="Arial"/>
                <w:sz w:val="18"/>
                <w:szCs w:val="18"/>
                <w:lang w:val="en-GB"/>
              </w:rPr>
              <w:t>4</w:t>
            </w:r>
          </w:p>
        </w:tc>
      </w:tr>
      <w:tr w:rsidR="0064777E" w:rsidRPr="00A66F1E" w:rsidTr="0064777E">
        <w:trPr>
          <w:trHeight w:hRule="exact" w:val="865"/>
        </w:trPr>
        <w:tc>
          <w:tcPr>
            <w:tcW w:w="867" w:type="pct"/>
            <w:tcMar>
              <w:left w:w="0" w:type="dxa"/>
              <w:right w:w="0" w:type="dxa"/>
            </w:tcMar>
            <w:vAlign w:val="center"/>
          </w:tcPr>
          <w:p w:rsidR="00FD267C" w:rsidRPr="00A66F1E" w:rsidRDefault="0064777E"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Machinery and e</w:t>
            </w:r>
            <w:r w:rsidR="00FD267C" w:rsidRPr="00A66F1E">
              <w:rPr>
                <w:rFonts w:ascii="Arial" w:hAnsi="Arial" w:cs="Arial"/>
                <w:b/>
                <w:sz w:val="20"/>
                <w:szCs w:val="18"/>
                <w:lang w:val="en-GB" w:eastAsia="ru-RU"/>
              </w:rPr>
              <w:t>quipment</w:t>
            </w:r>
          </w:p>
        </w:tc>
        <w:tc>
          <w:tcPr>
            <w:tcW w:w="335"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76</w:t>
            </w:r>
          </w:p>
        </w:tc>
        <w:tc>
          <w:tcPr>
            <w:tcW w:w="291"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w:t>
            </w:r>
            <w:r w:rsidR="00FD267C" w:rsidRPr="00A66F1E">
              <w:rPr>
                <w:rFonts w:ascii="Arial" w:hAnsi="Arial" w:cs="Arial"/>
                <w:sz w:val="18"/>
                <w:szCs w:val="18"/>
                <w:lang w:val="en-GB" w:eastAsia="ru-RU"/>
              </w:rPr>
              <w:t>2</w:t>
            </w:r>
          </w:p>
        </w:tc>
        <w:tc>
          <w:tcPr>
            <w:tcW w:w="271"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111</w:t>
            </w:r>
          </w:p>
        </w:tc>
        <w:tc>
          <w:tcPr>
            <w:tcW w:w="210"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w:t>
            </w:r>
            <w:r w:rsidR="00FD267C" w:rsidRPr="00A66F1E">
              <w:rPr>
                <w:rFonts w:ascii="Arial" w:hAnsi="Arial" w:cs="Arial"/>
                <w:sz w:val="18"/>
                <w:szCs w:val="18"/>
                <w:lang w:val="en-GB" w:eastAsia="ru-RU"/>
              </w:rPr>
              <w:t>4</w:t>
            </w:r>
          </w:p>
        </w:tc>
        <w:tc>
          <w:tcPr>
            <w:tcW w:w="31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454</w:t>
            </w:r>
          </w:p>
        </w:tc>
        <w:tc>
          <w:tcPr>
            <w:tcW w:w="266"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w:t>
            </w:r>
            <w:r w:rsidR="00FD267C" w:rsidRPr="00A66F1E">
              <w:rPr>
                <w:rFonts w:ascii="Arial" w:hAnsi="Arial" w:cs="Arial"/>
                <w:sz w:val="18"/>
                <w:szCs w:val="18"/>
                <w:lang w:val="en-GB" w:eastAsia="ru-RU"/>
              </w:rPr>
              <w:t>4</w:t>
            </w:r>
          </w:p>
        </w:tc>
        <w:tc>
          <w:tcPr>
            <w:tcW w:w="306"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868</w:t>
            </w:r>
          </w:p>
        </w:tc>
        <w:tc>
          <w:tcPr>
            <w:tcW w:w="272"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7.</w:t>
            </w:r>
            <w:r w:rsidR="00FD267C" w:rsidRPr="00A66F1E">
              <w:rPr>
                <w:rStyle w:val="apple-style-span"/>
                <w:rFonts w:ascii="Arial" w:hAnsi="Arial" w:cs="Arial"/>
                <w:sz w:val="18"/>
                <w:szCs w:val="18"/>
                <w:lang w:val="en-GB"/>
              </w:rPr>
              <w:t>6</w:t>
            </w:r>
          </w:p>
        </w:tc>
        <w:tc>
          <w:tcPr>
            <w:tcW w:w="39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341</w:t>
            </w:r>
          </w:p>
        </w:tc>
        <w:tc>
          <w:tcPr>
            <w:tcW w:w="297"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w:t>
            </w:r>
            <w:r w:rsidR="00FD267C" w:rsidRPr="00A66F1E">
              <w:rPr>
                <w:rFonts w:ascii="Arial" w:hAnsi="Arial" w:cs="Arial"/>
                <w:sz w:val="18"/>
                <w:szCs w:val="18"/>
                <w:lang w:val="en-GB" w:eastAsia="ru-RU"/>
              </w:rPr>
              <w:t>9</w:t>
            </w:r>
          </w:p>
        </w:tc>
        <w:tc>
          <w:tcPr>
            <w:tcW w:w="27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894</w:t>
            </w:r>
          </w:p>
        </w:tc>
        <w:tc>
          <w:tcPr>
            <w:tcW w:w="284"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6.</w:t>
            </w:r>
            <w:r w:rsidR="00FD267C" w:rsidRPr="00A66F1E">
              <w:rPr>
                <w:rStyle w:val="apple-style-span"/>
                <w:rFonts w:ascii="Arial" w:hAnsi="Arial" w:cs="Arial"/>
                <w:sz w:val="18"/>
                <w:szCs w:val="18"/>
                <w:lang w:val="en-GB"/>
              </w:rPr>
              <w:t>8</w:t>
            </w:r>
          </w:p>
        </w:tc>
        <w:tc>
          <w:tcPr>
            <w:tcW w:w="334"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999</w:t>
            </w:r>
          </w:p>
        </w:tc>
        <w:tc>
          <w:tcPr>
            <w:tcW w:w="285"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6.</w:t>
            </w:r>
            <w:r w:rsidR="00FD267C" w:rsidRPr="00A66F1E">
              <w:rPr>
                <w:rStyle w:val="apple-style-span"/>
                <w:rFonts w:ascii="Arial" w:hAnsi="Arial" w:cs="Arial"/>
                <w:sz w:val="18"/>
                <w:szCs w:val="18"/>
                <w:lang w:val="en-GB"/>
              </w:rPr>
              <w:t>7</w:t>
            </w:r>
          </w:p>
        </w:tc>
      </w:tr>
      <w:tr w:rsidR="0064777E" w:rsidRPr="00A66F1E" w:rsidTr="0064777E">
        <w:trPr>
          <w:trHeight w:hRule="exact" w:val="708"/>
        </w:trPr>
        <w:tc>
          <w:tcPr>
            <w:tcW w:w="86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b/>
                <w:sz w:val="20"/>
                <w:szCs w:val="18"/>
                <w:lang w:val="en-GB" w:eastAsia="ru-RU"/>
              </w:rPr>
            </w:pPr>
            <w:r w:rsidRPr="00A66F1E">
              <w:rPr>
                <w:rFonts w:ascii="Arial" w:hAnsi="Arial" w:cs="Arial"/>
                <w:b/>
                <w:sz w:val="20"/>
                <w:szCs w:val="18"/>
                <w:lang w:val="en-GB" w:eastAsia="ru-RU"/>
              </w:rPr>
              <w:t>Services</w:t>
            </w:r>
          </w:p>
        </w:tc>
        <w:tc>
          <w:tcPr>
            <w:tcW w:w="335"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250</w:t>
            </w:r>
          </w:p>
        </w:tc>
        <w:tc>
          <w:tcPr>
            <w:tcW w:w="291"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7.</w:t>
            </w:r>
            <w:r w:rsidR="00FD267C" w:rsidRPr="00A66F1E">
              <w:rPr>
                <w:rFonts w:ascii="Arial" w:hAnsi="Arial" w:cs="Arial"/>
                <w:sz w:val="18"/>
                <w:szCs w:val="18"/>
                <w:lang w:val="en-GB" w:eastAsia="ru-RU"/>
              </w:rPr>
              <w:t>2</w:t>
            </w:r>
          </w:p>
        </w:tc>
        <w:tc>
          <w:tcPr>
            <w:tcW w:w="271"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447</w:t>
            </w:r>
          </w:p>
        </w:tc>
        <w:tc>
          <w:tcPr>
            <w:tcW w:w="210"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13.</w:t>
            </w:r>
            <w:r w:rsidR="00FD267C" w:rsidRPr="00A66F1E">
              <w:rPr>
                <w:rFonts w:ascii="Arial" w:hAnsi="Arial" w:cs="Arial"/>
                <w:sz w:val="18"/>
                <w:szCs w:val="18"/>
                <w:lang w:val="en-GB" w:eastAsia="ru-RU"/>
              </w:rPr>
              <w:t>7</w:t>
            </w:r>
          </w:p>
        </w:tc>
        <w:tc>
          <w:tcPr>
            <w:tcW w:w="31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660</w:t>
            </w:r>
          </w:p>
        </w:tc>
        <w:tc>
          <w:tcPr>
            <w:tcW w:w="266"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12.</w:t>
            </w:r>
            <w:r w:rsidR="00FD267C" w:rsidRPr="00A66F1E">
              <w:rPr>
                <w:rFonts w:ascii="Arial" w:hAnsi="Arial" w:cs="Arial"/>
                <w:sz w:val="18"/>
                <w:szCs w:val="18"/>
                <w:lang w:val="en-GB" w:eastAsia="ru-RU"/>
              </w:rPr>
              <w:t>2</w:t>
            </w:r>
          </w:p>
        </w:tc>
        <w:tc>
          <w:tcPr>
            <w:tcW w:w="306"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1204</w:t>
            </w:r>
          </w:p>
        </w:tc>
        <w:tc>
          <w:tcPr>
            <w:tcW w:w="272"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10.</w:t>
            </w:r>
            <w:r w:rsidR="00FD267C" w:rsidRPr="00A66F1E">
              <w:rPr>
                <w:rStyle w:val="apple-style-span"/>
                <w:rFonts w:ascii="Arial" w:hAnsi="Arial" w:cs="Arial"/>
                <w:sz w:val="18"/>
                <w:szCs w:val="18"/>
                <w:lang w:val="en-GB"/>
              </w:rPr>
              <w:t>4</w:t>
            </w:r>
          </w:p>
        </w:tc>
        <w:tc>
          <w:tcPr>
            <w:tcW w:w="39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1038</w:t>
            </w:r>
          </w:p>
        </w:tc>
        <w:tc>
          <w:tcPr>
            <w:tcW w:w="297"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w:t>
            </w:r>
            <w:r w:rsidR="00FD267C" w:rsidRPr="00A66F1E">
              <w:rPr>
                <w:rFonts w:ascii="Arial" w:hAnsi="Arial" w:cs="Arial"/>
                <w:sz w:val="18"/>
                <w:szCs w:val="18"/>
                <w:lang w:val="en-GB" w:eastAsia="ru-RU"/>
              </w:rPr>
              <w:t>8</w:t>
            </w:r>
          </w:p>
        </w:tc>
        <w:tc>
          <w:tcPr>
            <w:tcW w:w="27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723</w:t>
            </w:r>
          </w:p>
        </w:tc>
        <w:tc>
          <w:tcPr>
            <w:tcW w:w="284"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5.</w:t>
            </w:r>
            <w:r w:rsidR="00FD267C" w:rsidRPr="00A66F1E">
              <w:rPr>
                <w:rStyle w:val="apple-style-span"/>
                <w:rFonts w:ascii="Arial" w:hAnsi="Arial" w:cs="Arial"/>
                <w:sz w:val="18"/>
                <w:szCs w:val="18"/>
                <w:lang w:val="en-GB"/>
              </w:rPr>
              <w:t>5</w:t>
            </w:r>
          </w:p>
        </w:tc>
        <w:tc>
          <w:tcPr>
            <w:tcW w:w="334"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1 773</w:t>
            </w:r>
          </w:p>
        </w:tc>
        <w:tc>
          <w:tcPr>
            <w:tcW w:w="285"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Style w:val="apple-style-span"/>
                <w:rFonts w:ascii="Arial" w:hAnsi="Arial" w:cs="Arial"/>
                <w:sz w:val="18"/>
                <w:szCs w:val="18"/>
                <w:lang w:val="en-GB"/>
              </w:rPr>
              <w:t>11.</w:t>
            </w:r>
            <w:r w:rsidR="00FD267C" w:rsidRPr="00A66F1E">
              <w:rPr>
                <w:rStyle w:val="apple-style-span"/>
                <w:rFonts w:ascii="Arial" w:hAnsi="Arial" w:cs="Arial"/>
                <w:sz w:val="18"/>
                <w:szCs w:val="18"/>
                <w:lang w:val="en-GB"/>
              </w:rPr>
              <w:t>8</w:t>
            </w:r>
          </w:p>
        </w:tc>
      </w:tr>
      <w:tr w:rsidR="0064777E" w:rsidRPr="00A66F1E" w:rsidTr="0064777E">
        <w:trPr>
          <w:trHeight w:hRule="exact" w:val="744"/>
        </w:trPr>
        <w:tc>
          <w:tcPr>
            <w:tcW w:w="86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b/>
                <w:sz w:val="20"/>
                <w:szCs w:val="14"/>
                <w:lang w:val="en-GB" w:eastAsia="ru-RU"/>
              </w:rPr>
            </w:pPr>
            <w:r w:rsidRPr="00A66F1E">
              <w:rPr>
                <w:rFonts w:ascii="Arial" w:hAnsi="Arial" w:cs="Arial"/>
                <w:b/>
                <w:sz w:val="20"/>
                <w:szCs w:val="14"/>
                <w:lang w:val="en-GB" w:eastAsia="ru-RU"/>
              </w:rPr>
              <w:t>Gold</w:t>
            </w:r>
          </w:p>
        </w:tc>
        <w:tc>
          <w:tcPr>
            <w:tcW w:w="335"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611</w:t>
            </w:r>
          </w:p>
        </w:tc>
        <w:tc>
          <w:tcPr>
            <w:tcW w:w="291"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17.</w:t>
            </w:r>
            <w:r w:rsidR="00FD267C" w:rsidRPr="00A66F1E">
              <w:rPr>
                <w:rFonts w:ascii="Arial" w:hAnsi="Arial" w:cs="Arial"/>
                <w:sz w:val="18"/>
                <w:szCs w:val="18"/>
                <w:lang w:val="en-GB" w:eastAsia="ru-RU"/>
              </w:rPr>
              <w:t>5</w:t>
            </w:r>
          </w:p>
        </w:tc>
        <w:tc>
          <w:tcPr>
            <w:tcW w:w="271"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809</w:t>
            </w:r>
          </w:p>
        </w:tc>
        <w:tc>
          <w:tcPr>
            <w:tcW w:w="210"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25</w:t>
            </w:r>
          </w:p>
        </w:tc>
        <w:tc>
          <w:tcPr>
            <w:tcW w:w="313"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963</w:t>
            </w:r>
          </w:p>
        </w:tc>
        <w:tc>
          <w:tcPr>
            <w:tcW w:w="266"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17.</w:t>
            </w:r>
            <w:r w:rsidR="00FD267C" w:rsidRPr="00A66F1E">
              <w:rPr>
                <w:rFonts w:ascii="Arial" w:hAnsi="Arial" w:cs="Arial"/>
                <w:sz w:val="18"/>
                <w:szCs w:val="18"/>
                <w:lang w:val="en-GB" w:eastAsia="ru-RU"/>
              </w:rPr>
              <w:t>8</w:t>
            </w:r>
          </w:p>
        </w:tc>
        <w:tc>
          <w:tcPr>
            <w:tcW w:w="306"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3991</w:t>
            </w:r>
          </w:p>
        </w:tc>
        <w:tc>
          <w:tcPr>
            <w:tcW w:w="272" w:type="pct"/>
            <w:tcMar>
              <w:left w:w="0" w:type="dxa"/>
              <w:right w:w="0" w:type="dxa"/>
            </w:tcMar>
            <w:vAlign w:val="center"/>
          </w:tcPr>
          <w:p w:rsidR="00FD267C" w:rsidRPr="00A66F1E" w:rsidRDefault="006878B2" w:rsidP="00A66F1E">
            <w:pPr>
              <w:pStyle w:val="Default"/>
              <w:spacing w:line="360" w:lineRule="auto"/>
              <w:jc w:val="center"/>
              <w:rPr>
                <w:rStyle w:val="apple-style-span"/>
                <w:rFonts w:ascii="Arial" w:hAnsi="Arial" w:cs="Arial"/>
                <w:sz w:val="18"/>
                <w:szCs w:val="18"/>
                <w:lang w:val="en-GB"/>
              </w:rPr>
            </w:pPr>
            <w:r w:rsidRPr="00A66F1E">
              <w:rPr>
                <w:rStyle w:val="apple-style-span"/>
                <w:rFonts w:ascii="Arial" w:hAnsi="Arial" w:cs="Arial"/>
                <w:sz w:val="18"/>
                <w:szCs w:val="18"/>
                <w:lang w:val="en-GB"/>
              </w:rPr>
              <w:t>34.</w:t>
            </w:r>
            <w:r w:rsidR="00FD267C" w:rsidRPr="00A66F1E">
              <w:rPr>
                <w:rStyle w:val="apple-style-span"/>
                <w:rFonts w:ascii="Arial" w:hAnsi="Arial" w:cs="Arial"/>
                <w:sz w:val="18"/>
                <w:szCs w:val="18"/>
                <w:lang w:val="en-GB"/>
              </w:rPr>
              <w:t>5</w:t>
            </w:r>
          </w:p>
        </w:tc>
        <w:tc>
          <w:tcPr>
            <w:tcW w:w="397" w:type="pct"/>
            <w:tcMar>
              <w:left w:w="0" w:type="dxa"/>
              <w:right w:w="0" w:type="dxa"/>
            </w:tcMar>
            <w:vAlign w:val="center"/>
          </w:tcPr>
          <w:p w:rsidR="00FD267C" w:rsidRPr="00A66F1E" w:rsidRDefault="00FD267C"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2672</w:t>
            </w:r>
          </w:p>
        </w:tc>
        <w:tc>
          <w:tcPr>
            <w:tcW w:w="297" w:type="pct"/>
            <w:tcMar>
              <w:left w:w="0" w:type="dxa"/>
              <w:right w:w="0" w:type="dxa"/>
            </w:tcMar>
            <w:vAlign w:val="center"/>
          </w:tcPr>
          <w:p w:rsidR="00FD267C" w:rsidRPr="00A66F1E" w:rsidRDefault="006878B2" w:rsidP="00A66F1E">
            <w:pPr>
              <w:pStyle w:val="Default"/>
              <w:spacing w:line="360" w:lineRule="auto"/>
              <w:jc w:val="center"/>
              <w:rPr>
                <w:rFonts w:ascii="Arial" w:hAnsi="Arial" w:cs="Arial"/>
                <w:sz w:val="18"/>
                <w:szCs w:val="18"/>
                <w:lang w:val="en-GB" w:eastAsia="ru-RU"/>
              </w:rPr>
            </w:pPr>
            <w:r w:rsidRPr="00A66F1E">
              <w:rPr>
                <w:rFonts w:ascii="Arial" w:hAnsi="Arial" w:cs="Arial"/>
                <w:sz w:val="18"/>
                <w:szCs w:val="18"/>
                <w:lang w:val="en-GB" w:eastAsia="ru-RU"/>
              </w:rPr>
              <w:t>22.</w:t>
            </w:r>
            <w:r w:rsidR="00FD267C" w:rsidRPr="00A66F1E">
              <w:rPr>
                <w:rFonts w:ascii="Arial" w:hAnsi="Arial" w:cs="Arial"/>
                <w:sz w:val="18"/>
                <w:szCs w:val="18"/>
                <w:lang w:val="en-GB" w:eastAsia="ru-RU"/>
              </w:rPr>
              <w:t>7</w:t>
            </w:r>
          </w:p>
        </w:tc>
        <w:tc>
          <w:tcPr>
            <w:tcW w:w="273" w:type="pct"/>
            <w:tcMar>
              <w:left w:w="0" w:type="dxa"/>
              <w:right w:w="0" w:type="dxa"/>
            </w:tcMar>
            <w:vAlign w:val="center"/>
          </w:tcPr>
          <w:p w:rsidR="00FD267C" w:rsidRPr="00A66F1E" w:rsidRDefault="00FD267C" w:rsidP="00A66F1E">
            <w:pPr>
              <w:pStyle w:val="Default"/>
              <w:spacing w:line="360" w:lineRule="auto"/>
              <w:jc w:val="center"/>
              <w:rPr>
                <w:rStyle w:val="apple-style-span"/>
                <w:rFonts w:ascii="Arial" w:hAnsi="Arial" w:cs="Arial"/>
                <w:sz w:val="18"/>
                <w:szCs w:val="18"/>
                <w:lang w:val="en-GB"/>
              </w:rPr>
            </w:pPr>
            <w:r w:rsidRPr="00A66F1E">
              <w:rPr>
                <w:rStyle w:val="apple-style-span"/>
                <w:rFonts w:ascii="Arial" w:hAnsi="Arial" w:cs="Arial"/>
                <w:sz w:val="18"/>
                <w:szCs w:val="18"/>
                <w:lang w:val="en-GB"/>
              </w:rPr>
              <w:t>2283</w:t>
            </w:r>
          </w:p>
        </w:tc>
        <w:tc>
          <w:tcPr>
            <w:tcW w:w="284" w:type="pct"/>
            <w:tcMar>
              <w:left w:w="0" w:type="dxa"/>
              <w:right w:w="0" w:type="dxa"/>
            </w:tcMar>
            <w:vAlign w:val="center"/>
          </w:tcPr>
          <w:p w:rsidR="00FD267C" w:rsidRPr="00A66F1E" w:rsidRDefault="006878B2" w:rsidP="00A66F1E">
            <w:pPr>
              <w:pStyle w:val="Default"/>
              <w:spacing w:line="360" w:lineRule="auto"/>
              <w:jc w:val="center"/>
              <w:rPr>
                <w:rStyle w:val="apple-style-span"/>
                <w:rFonts w:ascii="Arial" w:hAnsi="Arial" w:cs="Arial"/>
                <w:sz w:val="18"/>
                <w:szCs w:val="18"/>
                <w:lang w:val="en-GB"/>
              </w:rPr>
            </w:pPr>
            <w:r w:rsidRPr="00A66F1E">
              <w:rPr>
                <w:rStyle w:val="apple-style-span"/>
                <w:rFonts w:ascii="Arial" w:hAnsi="Arial" w:cs="Arial"/>
                <w:sz w:val="18"/>
                <w:szCs w:val="18"/>
                <w:lang w:val="en-GB"/>
              </w:rPr>
              <w:t>17.</w:t>
            </w:r>
            <w:r w:rsidR="00FD267C" w:rsidRPr="00A66F1E">
              <w:rPr>
                <w:rStyle w:val="apple-style-span"/>
                <w:rFonts w:ascii="Arial" w:hAnsi="Arial" w:cs="Arial"/>
                <w:sz w:val="18"/>
                <w:szCs w:val="18"/>
                <w:lang w:val="en-GB"/>
              </w:rPr>
              <w:t>5</w:t>
            </w:r>
          </w:p>
        </w:tc>
        <w:tc>
          <w:tcPr>
            <w:tcW w:w="334" w:type="pct"/>
            <w:tcMar>
              <w:left w:w="0" w:type="dxa"/>
              <w:right w:w="0" w:type="dxa"/>
            </w:tcMar>
            <w:vAlign w:val="center"/>
          </w:tcPr>
          <w:p w:rsidR="00FD267C" w:rsidRPr="00A66F1E" w:rsidRDefault="00FD267C" w:rsidP="00A66F1E">
            <w:pPr>
              <w:pStyle w:val="Default"/>
              <w:spacing w:line="360" w:lineRule="auto"/>
              <w:jc w:val="center"/>
              <w:rPr>
                <w:rStyle w:val="apple-style-span"/>
                <w:rFonts w:ascii="Arial" w:hAnsi="Arial" w:cs="Arial"/>
                <w:sz w:val="18"/>
                <w:szCs w:val="18"/>
                <w:lang w:val="en-GB"/>
              </w:rPr>
            </w:pPr>
            <w:r w:rsidRPr="00A66F1E">
              <w:rPr>
                <w:rStyle w:val="apple-style-span"/>
                <w:rFonts w:ascii="Arial" w:hAnsi="Arial" w:cs="Arial"/>
                <w:sz w:val="18"/>
                <w:szCs w:val="18"/>
                <w:lang w:val="en-GB"/>
              </w:rPr>
              <w:t>3552</w:t>
            </w:r>
          </w:p>
        </w:tc>
        <w:tc>
          <w:tcPr>
            <w:tcW w:w="285" w:type="pct"/>
            <w:tcMar>
              <w:left w:w="0" w:type="dxa"/>
              <w:right w:w="0" w:type="dxa"/>
            </w:tcMar>
            <w:vAlign w:val="center"/>
          </w:tcPr>
          <w:p w:rsidR="00FD267C" w:rsidRPr="00A66F1E" w:rsidRDefault="006878B2" w:rsidP="00A66F1E">
            <w:pPr>
              <w:pStyle w:val="Default"/>
              <w:spacing w:line="360" w:lineRule="auto"/>
              <w:jc w:val="center"/>
              <w:rPr>
                <w:rStyle w:val="apple-style-span"/>
                <w:rFonts w:ascii="Arial" w:hAnsi="Arial" w:cs="Arial"/>
                <w:sz w:val="18"/>
                <w:szCs w:val="18"/>
                <w:lang w:val="en-GB"/>
              </w:rPr>
            </w:pPr>
            <w:r w:rsidRPr="00A66F1E">
              <w:rPr>
                <w:rStyle w:val="apple-style-span"/>
                <w:rFonts w:ascii="Arial" w:hAnsi="Arial" w:cs="Arial"/>
                <w:sz w:val="18"/>
                <w:szCs w:val="18"/>
                <w:lang w:val="en-GB"/>
              </w:rPr>
              <w:t>27.</w:t>
            </w:r>
            <w:r w:rsidR="00FD267C" w:rsidRPr="00A66F1E">
              <w:rPr>
                <w:rStyle w:val="apple-style-span"/>
                <w:rFonts w:ascii="Arial" w:hAnsi="Arial" w:cs="Arial"/>
                <w:sz w:val="18"/>
                <w:szCs w:val="18"/>
                <w:lang w:val="en-GB"/>
              </w:rPr>
              <w:t>2</w:t>
            </w:r>
          </w:p>
        </w:tc>
      </w:tr>
    </w:tbl>
    <w:p w:rsidR="00C616E8" w:rsidRPr="00A66F1E" w:rsidRDefault="00C616E8" w:rsidP="00A66F1E">
      <w:pPr>
        <w:tabs>
          <w:tab w:val="left" w:pos="6074"/>
        </w:tabs>
        <w:spacing w:line="360" w:lineRule="auto"/>
        <w:rPr>
          <w:lang w:val="en-GB"/>
        </w:rPr>
      </w:pPr>
    </w:p>
    <w:sectPr w:rsidR="00C616E8" w:rsidRPr="00A66F1E" w:rsidSect="00FB07E3">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72" w:rsidRDefault="00E65272" w:rsidP="00F90625">
      <w:pPr>
        <w:spacing w:after="0" w:line="240" w:lineRule="auto"/>
      </w:pPr>
      <w:r>
        <w:separator/>
      </w:r>
    </w:p>
  </w:endnote>
  <w:endnote w:type="continuationSeparator" w:id="0">
    <w:p w:rsidR="00E65272" w:rsidRDefault="00E65272" w:rsidP="00F9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67" w:rsidRDefault="00357567">
    <w:pPr>
      <w:pStyle w:val="Footer"/>
      <w:jc w:val="center"/>
    </w:pPr>
    <w:r>
      <w:fldChar w:fldCharType="begin"/>
    </w:r>
    <w:r>
      <w:instrText xml:space="preserve"> PAGE   \* MERGEFORMAT </w:instrText>
    </w:r>
    <w:r>
      <w:fldChar w:fldCharType="separate"/>
    </w:r>
    <w:r w:rsidR="003A7DBA">
      <w:rPr>
        <w:noProof/>
      </w:rPr>
      <w:t>1</w:t>
    </w:r>
    <w:r>
      <w:rPr>
        <w:noProof/>
      </w:rPr>
      <w:fldChar w:fldCharType="end"/>
    </w:r>
  </w:p>
  <w:p w:rsidR="00357567" w:rsidRDefault="00357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72" w:rsidRDefault="00E65272" w:rsidP="00F90625">
      <w:pPr>
        <w:spacing w:after="0" w:line="240" w:lineRule="auto"/>
      </w:pPr>
      <w:r>
        <w:separator/>
      </w:r>
    </w:p>
  </w:footnote>
  <w:footnote w:type="continuationSeparator" w:id="0">
    <w:p w:rsidR="00E65272" w:rsidRDefault="00E65272" w:rsidP="00F90625">
      <w:pPr>
        <w:spacing w:after="0" w:line="240" w:lineRule="auto"/>
      </w:pPr>
      <w:r>
        <w:continuationSeparator/>
      </w:r>
    </w:p>
  </w:footnote>
  <w:footnote w:id="1">
    <w:p w:rsidR="00357567" w:rsidRPr="00A66F1E" w:rsidRDefault="00357567" w:rsidP="009B3DA6">
      <w:pPr>
        <w:pStyle w:val="Default"/>
        <w:jc w:val="both"/>
        <w:rPr>
          <w:rFonts w:ascii="Arial" w:hAnsi="Arial" w:cs="Arial"/>
          <w:sz w:val="20"/>
          <w:szCs w:val="18"/>
          <w:lang w:val="en-GB"/>
        </w:rPr>
      </w:pPr>
      <w:r w:rsidRPr="00A66F1E">
        <w:rPr>
          <w:rStyle w:val="FootnoteReference"/>
          <w:rFonts w:ascii="Arial" w:hAnsi="Arial" w:cs="Arial"/>
          <w:sz w:val="20"/>
          <w:szCs w:val="18"/>
          <w:lang w:val="en-GB"/>
        </w:rPr>
        <w:footnoteRef/>
      </w:r>
      <w:r w:rsidRPr="00A66F1E">
        <w:rPr>
          <w:rFonts w:ascii="Arial" w:hAnsi="Arial" w:cs="Arial"/>
          <w:sz w:val="20"/>
          <w:szCs w:val="18"/>
          <w:lang w:val="en-GB"/>
        </w:rPr>
        <w:t xml:space="preserve">Since </w:t>
      </w:r>
      <w:r>
        <w:rPr>
          <w:rFonts w:ascii="Arial" w:hAnsi="Arial" w:cs="Arial"/>
          <w:sz w:val="20"/>
          <w:szCs w:val="18"/>
          <w:lang w:val="en-GB"/>
        </w:rPr>
        <w:t xml:space="preserve">1 </w:t>
      </w:r>
      <w:r w:rsidRPr="00A66F1E">
        <w:rPr>
          <w:rFonts w:ascii="Arial" w:hAnsi="Arial" w:cs="Arial"/>
          <w:sz w:val="20"/>
          <w:szCs w:val="18"/>
          <w:lang w:val="en-GB"/>
        </w:rPr>
        <w:t xml:space="preserve">January 2010, Kazakhstan </w:t>
      </w:r>
      <w:r>
        <w:rPr>
          <w:rFonts w:ascii="Arial" w:hAnsi="Arial" w:cs="Arial"/>
          <w:sz w:val="20"/>
          <w:szCs w:val="18"/>
          <w:lang w:val="en-GB"/>
        </w:rPr>
        <w:t>has been</w:t>
      </w:r>
      <w:r w:rsidRPr="00A66F1E">
        <w:rPr>
          <w:rFonts w:ascii="Arial" w:hAnsi="Arial" w:cs="Arial"/>
          <w:sz w:val="20"/>
          <w:szCs w:val="18"/>
          <w:lang w:val="en-GB"/>
        </w:rPr>
        <w:t xml:space="preserve"> a member of </w:t>
      </w:r>
      <w:r>
        <w:rPr>
          <w:rFonts w:ascii="Arial" w:hAnsi="Arial" w:cs="Arial"/>
          <w:sz w:val="20"/>
          <w:szCs w:val="18"/>
          <w:lang w:val="en-GB"/>
        </w:rPr>
        <w:t xml:space="preserve">the </w:t>
      </w:r>
      <w:r w:rsidRPr="00A66F1E">
        <w:rPr>
          <w:rFonts w:ascii="Arial" w:hAnsi="Arial" w:cs="Arial"/>
          <w:sz w:val="20"/>
          <w:szCs w:val="18"/>
          <w:lang w:val="en-GB"/>
        </w:rPr>
        <w:t>Customs Union with Russia and Belarus</w:t>
      </w:r>
      <w:r>
        <w:rPr>
          <w:rFonts w:ascii="Arial" w:hAnsi="Arial" w:cs="Arial"/>
          <w:sz w:val="20"/>
          <w:szCs w:val="18"/>
          <w:lang w:val="en-GB"/>
        </w:rPr>
        <w:t xml:space="preserve">, </w:t>
      </w:r>
      <w:r w:rsidRPr="0028285B">
        <w:rPr>
          <w:rFonts w:ascii="Arial" w:hAnsi="Arial" w:cs="Arial"/>
          <w:sz w:val="20"/>
          <w:szCs w:val="18"/>
          <w:lang w:val="en-GB"/>
        </w:rPr>
        <w:t>which aims at</w:t>
      </w:r>
      <w:r w:rsidRPr="00A66F1E">
        <w:rPr>
          <w:rFonts w:ascii="Arial" w:hAnsi="Arial" w:cs="Arial"/>
          <w:sz w:val="20"/>
          <w:szCs w:val="18"/>
          <w:lang w:val="en-GB"/>
        </w:rPr>
        <w:t xml:space="preserve"> a unified set of customs tariffs </w:t>
      </w:r>
      <w:r>
        <w:rPr>
          <w:rFonts w:ascii="Arial" w:hAnsi="Arial" w:cs="Arial"/>
          <w:sz w:val="20"/>
          <w:szCs w:val="18"/>
          <w:lang w:val="en-GB"/>
        </w:rPr>
        <w:t>for</w:t>
      </w:r>
      <w:r w:rsidRPr="00A66F1E">
        <w:rPr>
          <w:rFonts w:ascii="Arial" w:hAnsi="Arial" w:cs="Arial"/>
          <w:sz w:val="20"/>
          <w:szCs w:val="18"/>
          <w:lang w:val="en-GB"/>
        </w:rPr>
        <w:t xml:space="preserve"> all three countries. Since that </w:t>
      </w:r>
      <w:r>
        <w:rPr>
          <w:rFonts w:ascii="Arial" w:hAnsi="Arial" w:cs="Arial"/>
          <w:sz w:val="20"/>
          <w:szCs w:val="18"/>
          <w:lang w:val="en-GB"/>
        </w:rPr>
        <w:t>time,</w:t>
      </w:r>
      <w:r w:rsidRPr="00A66F1E">
        <w:rPr>
          <w:rFonts w:ascii="Arial" w:hAnsi="Arial" w:cs="Arial"/>
          <w:sz w:val="20"/>
          <w:szCs w:val="18"/>
          <w:lang w:val="en-GB"/>
        </w:rPr>
        <w:t xml:space="preserve"> all imported goods from countries</w:t>
      </w:r>
      <w:r>
        <w:rPr>
          <w:rFonts w:ascii="Arial" w:hAnsi="Arial" w:cs="Arial"/>
          <w:sz w:val="20"/>
          <w:szCs w:val="18"/>
          <w:lang w:val="en-GB"/>
        </w:rPr>
        <w:t xml:space="preserve"> further abroad</w:t>
      </w:r>
      <w:r w:rsidRPr="00A66F1E">
        <w:rPr>
          <w:rFonts w:ascii="Arial" w:hAnsi="Arial" w:cs="Arial"/>
          <w:sz w:val="20"/>
          <w:szCs w:val="18"/>
          <w:lang w:val="en-GB"/>
        </w:rPr>
        <w:t xml:space="preserve"> are subject of unified customs duties in Kazakhstan, Russia and Belarus. Kazakhstan also places special emphasis on becoming a WTO member</w:t>
      </w:r>
      <w:r>
        <w:rPr>
          <w:rFonts w:ascii="Arial" w:hAnsi="Arial" w:cs="Arial"/>
          <w:sz w:val="20"/>
          <w:szCs w:val="18"/>
          <w:lang w:val="en-GB"/>
        </w:rPr>
        <w:t>,</w:t>
      </w:r>
      <w:r w:rsidRPr="00A66F1E">
        <w:rPr>
          <w:rFonts w:ascii="Arial" w:hAnsi="Arial" w:cs="Arial"/>
          <w:sz w:val="20"/>
          <w:szCs w:val="18"/>
          <w:lang w:val="en-GB"/>
        </w:rPr>
        <w:t xml:space="preserve"> and </w:t>
      </w:r>
      <w:r>
        <w:rPr>
          <w:rFonts w:ascii="Arial" w:hAnsi="Arial" w:cs="Arial"/>
          <w:sz w:val="20"/>
          <w:szCs w:val="18"/>
          <w:lang w:val="en-GB"/>
        </w:rPr>
        <w:t xml:space="preserve">has been </w:t>
      </w:r>
      <w:r w:rsidRPr="00A66F1E">
        <w:rPr>
          <w:rFonts w:ascii="Arial" w:hAnsi="Arial" w:cs="Arial"/>
          <w:sz w:val="20"/>
          <w:szCs w:val="18"/>
          <w:lang w:val="en-GB"/>
        </w:rPr>
        <w:t>gradually adjust</w:t>
      </w:r>
      <w:r>
        <w:rPr>
          <w:rFonts w:ascii="Arial" w:hAnsi="Arial" w:cs="Arial"/>
          <w:sz w:val="20"/>
          <w:szCs w:val="18"/>
          <w:lang w:val="en-GB"/>
        </w:rPr>
        <w:t>ing</w:t>
      </w:r>
      <w:r w:rsidRPr="00A66F1E">
        <w:rPr>
          <w:rFonts w:ascii="Arial" w:hAnsi="Arial" w:cs="Arial"/>
          <w:sz w:val="20"/>
          <w:szCs w:val="18"/>
          <w:lang w:val="en-GB"/>
        </w:rPr>
        <w:t xml:space="preserve"> its trade policy in accordance with WTO membership requirements. </w:t>
      </w:r>
    </w:p>
  </w:footnote>
  <w:footnote w:id="2">
    <w:p w:rsidR="00357567" w:rsidRPr="00894B1A" w:rsidRDefault="00357567" w:rsidP="00C616E8">
      <w:pPr>
        <w:spacing w:after="0" w:line="240" w:lineRule="auto"/>
        <w:rPr>
          <w:color w:val="000000"/>
          <w:lang w:val="en-US"/>
        </w:rPr>
      </w:pPr>
      <w:r w:rsidRPr="00A66F1E">
        <w:rPr>
          <w:rStyle w:val="FootnoteReference"/>
          <w:rFonts w:cs="Arial"/>
          <w:szCs w:val="18"/>
          <w:lang w:val="en-GB"/>
        </w:rPr>
        <w:footnoteRef/>
      </w:r>
      <w:r w:rsidRPr="0070084C">
        <w:rPr>
          <w:szCs w:val="18"/>
          <w:lang w:val="en-GB"/>
        </w:rPr>
        <w:t xml:space="preserve"> </w:t>
      </w:r>
      <w:r w:rsidR="009B3DA6">
        <w:rPr>
          <w:color w:val="000000"/>
          <w:sz w:val="20"/>
          <w:szCs w:val="20"/>
          <w:lang w:val="en-GB"/>
        </w:rPr>
        <w:t>Government of the Republic of Kazakhstan (2010): "</w:t>
      </w:r>
      <w:r w:rsidR="009B3DA6">
        <w:rPr>
          <w:i/>
          <w:iCs/>
          <w:color w:val="000000"/>
          <w:sz w:val="20"/>
          <w:szCs w:val="20"/>
          <w:lang w:val="en-GB"/>
        </w:rPr>
        <w:t xml:space="preserve">O </w:t>
      </w:r>
      <w:proofErr w:type="spellStart"/>
      <w:r w:rsidR="009B3DA6">
        <w:rPr>
          <w:i/>
          <w:iCs/>
          <w:color w:val="000000"/>
          <w:sz w:val="20"/>
          <w:szCs w:val="20"/>
          <w:lang w:val="en-GB"/>
        </w:rPr>
        <w:t>Stavkah</w:t>
      </w:r>
      <w:proofErr w:type="spellEnd"/>
      <w:r w:rsidR="009B3DA6">
        <w:rPr>
          <w:i/>
          <w:iCs/>
          <w:color w:val="000000"/>
          <w:sz w:val="20"/>
          <w:szCs w:val="20"/>
          <w:lang w:val="en-GB"/>
        </w:rPr>
        <w:t xml:space="preserve"> </w:t>
      </w:r>
      <w:proofErr w:type="spellStart"/>
      <w:r w:rsidR="009B3DA6">
        <w:rPr>
          <w:i/>
          <w:iCs/>
          <w:color w:val="000000"/>
          <w:sz w:val="20"/>
          <w:szCs w:val="20"/>
          <w:lang w:val="en-GB"/>
        </w:rPr>
        <w:t>Tamozhennih</w:t>
      </w:r>
      <w:proofErr w:type="spellEnd"/>
      <w:r w:rsidR="009B3DA6">
        <w:rPr>
          <w:i/>
          <w:iCs/>
          <w:color w:val="000000"/>
          <w:sz w:val="20"/>
          <w:szCs w:val="20"/>
          <w:lang w:val="en-GB"/>
        </w:rPr>
        <w:t xml:space="preserve"> </w:t>
      </w:r>
      <w:proofErr w:type="spellStart"/>
      <w:r w:rsidR="009B3DA6">
        <w:rPr>
          <w:i/>
          <w:iCs/>
          <w:color w:val="000000"/>
          <w:sz w:val="20"/>
          <w:szCs w:val="20"/>
          <w:lang w:val="en-GB"/>
        </w:rPr>
        <w:t>Poshlin</w:t>
      </w:r>
      <w:proofErr w:type="spellEnd"/>
      <w:r w:rsidR="009B3DA6">
        <w:rPr>
          <w:i/>
          <w:iCs/>
          <w:color w:val="000000"/>
          <w:sz w:val="20"/>
          <w:szCs w:val="20"/>
          <w:lang w:val="en-GB"/>
        </w:rPr>
        <w:t xml:space="preserve"> </w:t>
      </w:r>
      <w:proofErr w:type="spellStart"/>
      <w:r w:rsidR="009B3DA6">
        <w:rPr>
          <w:i/>
          <w:iCs/>
          <w:color w:val="000000"/>
          <w:sz w:val="20"/>
          <w:szCs w:val="20"/>
          <w:lang w:val="en-GB"/>
        </w:rPr>
        <w:t>Respubliki</w:t>
      </w:r>
      <w:proofErr w:type="spellEnd"/>
      <w:r w:rsidR="009B3DA6">
        <w:rPr>
          <w:i/>
          <w:iCs/>
          <w:color w:val="000000"/>
          <w:sz w:val="20"/>
          <w:szCs w:val="20"/>
          <w:lang w:val="en-GB"/>
        </w:rPr>
        <w:t xml:space="preserve"> </w:t>
      </w:r>
      <w:proofErr w:type="spellStart"/>
      <w:r w:rsidR="009B3DA6">
        <w:rPr>
          <w:i/>
          <w:iCs/>
          <w:color w:val="000000"/>
          <w:sz w:val="20"/>
          <w:szCs w:val="20"/>
          <w:lang w:val="en-GB"/>
        </w:rPr>
        <w:t>Kazahstan</w:t>
      </w:r>
      <w:proofErr w:type="spellEnd"/>
      <w:r w:rsidR="009B3DA6">
        <w:rPr>
          <w:i/>
          <w:iCs/>
          <w:color w:val="000000"/>
          <w:sz w:val="20"/>
          <w:szCs w:val="20"/>
          <w:lang w:val="en-GB"/>
        </w:rPr>
        <w:t xml:space="preserve">, </w:t>
      </w:r>
      <w:proofErr w:type="spellStart"/>
      <w:r w:rsidR="009B3DA6">
        <w:rPr>
          <w:i/>
          <w:iCs/>
          <w:color w:val="000000"/>
          <w:sz w:val="20"/>
          <w:szCs w:val="20"/>
          <w:lang w:val="en-GB"/>
        </w:rPr>
        <w:t>Postanovlenie</w:t>
      </w:r>
      <w:proofErr w:type="spellEnd"/>
      <w:r w:rsidR="009B3DA6">
        <w:rPr>
          <w:i/>
          <w:iCs/>
          <w:color w:val="000000"/>
          <w:sz w:val="20"/>
          <w:szCs w:val="20"/>
          <w:lang w:val="en-GB"/>
        </w:rPr>
        <w:t xml:space="preserve"> </w:t>
      </w:r>
      <w:proofErr w:type="spellStart"/>
      <w:r w:rsidR="009B3DA6">
        <w:rPr>
          <w:i/>
          <w:iCs/>
          <w:color w:val="000000"/>
          <w:sz w:val="20"/>
          <w:szCs w:val="20"/>
          <w:lang w:val="en-GB"/>
        </w:rPr>
        <w:t>Pravitelstva</w:t>
      </w:r>
      <w:proofErr w:type="spellEnd"/>
      <w:r w:rsidR="009B3DA6">
        <w:rPr>
          <w:i/>
          <w:iCs/>
          <w:color w:val="000000"/>
          <w:sz w:val="20"/>
          <w:szCs w:val="20"/>
          <w:lang w:val="en-GB"/>
        </w:rPr>
        <w:t xml:space="preserve"> </w:t>
      </w:r>
      <w:proofErr w:type="spellStart"/>
      <w:r w:rsidR="009B3DA6">
        <w:rPr>
          <w:i/>
          <w:iCs/>
          <w:color w:val="000000"/>
          <w:sz w:val="20"/>
          <w:szCs w:val="20"/>
          <w:lang w:val="en-GB"/>
        </w:rPr>
        <w:t>Respubliki</w:t>
      </w:r>
      <w:proofErr w:type="spellEnd"/>
      <w:r w:rsidR="009B3DA6">
        <w:rPr>
          <w:i/>
          <w:iCs/>
          <w:color w:val="000000"/>
          <w:sz w:val="20"/>
          <w:szCs w:val="20"/>
          <w:lang w:val="en-GB"/>
        </w:rPr>
        <w:t xml:space="preserve"> </w:t>
      </w:r>
      <w:proofErr w:type="spellStart"/>
      <w:r w:rsidR="009B3DA6">
        <w:rPr>
          <w:i/>
          <w:iCs/>
          <w:color w:val="000000"/>
          <w:sz w:val="20"/>
          <w:szCs w:val="20"/>
          <w:lang w:val="en-GB"/>
        </w:rPr>
        <w:t>Kazahstan</w:t>
      </w:r>
      <w:proofErr w:type="spellEnd"/>
      <w:r w:rsidR="009B3DA6">
        <w:rPr>
          <w:i/>
          <w:iCs/>
          <w:color w:val="000000"/>
          <w:sz w:val="20"/>
          <w:szCs w:val="20"/>
          <w:lang w:val="en-GB"/>
        </w:rPr>
        <w:t xml:space="preserve"> </w:t>
      </w:r>
      <w:proofErr w:type="spellStart"/>
      <w:proofErr w:type="gramStart"/>
      <w:r w:rsidR="009B3DA6">
        <w:rPr>
          <w:i/>
          <w:iCs/>
          <w:color w:val="000000"/>
          <w:sz w:val="20"/>
          <w:szCs w:val="20"/>
          <w:lang w:val="en-GB"/>
        </w:rPr>
        <w:t>ot</w:t>
      </w:r>
      <w:proofErr w:type="spellEnd"/>
      <w:proofErr w:type="gramEnd"/>
      <w:r w:rsidR="009B3DA6">
        <w:rPr>
          <w:i/>
          <w:iCs/>
          <w:color w:val="000000"/>
          <w:sz w:val="20"/>
          <w:szCs w:val="20"/>
          <w:lang w:val="en-GB"/>
        </w:rPr>
        <w:t xml:space="preserve"> 7 </w:t>
      </w:r>
      <w:proofErr w:type="spellStart"/>
      <w:r w:rsidR="009B3DA6">
        <w:rPr>
          <w:i/>
          <w:iCs/>
          <w:color w:val="000000"/>
          <w:sz w:val="20"/>
          <w:szCs w:val="20"/>
          <w:lang w:val="en-GB"/>
        </w:rPr>
        <w:t>Ijuna</w:t>
      </w:r>
      <w:proofErr w:type="spellEnd"/>
      <w:r w:rsidR="009B3DA6">
        <w:rPr>
          <w:i/>
          <w:iCs/>
          <w:color w:val="000000"/>
          <w:sz w:val="20"/>
          <w:szCs w:val="20"/>
          <w:lang w:val="en-GB"/>
        </w:rPr>
        <w:t xml:space="preserve"> 2010 </w:t>
      </w:r>
      <w:proofErr w:type="spellStart"/>
      <w:r w:rsidR="009B3DA6">
        <w:rPr>
          <w:i/>
          <w:iCs/>
          <w:color w:val="000000"/>
          <w:sz w:val="20"/>
          <w:szCs w:val="20"/>
          <w:lang w:val="en-GB"/>
        </w:rPr>
        <w:t>Goda</w:t>
      </w:r>
      <w:proofErr w:type="spellEnd"/>
      <w:r w:rsidR="009B3DA6">
        <w:rPr>
          <w:i/>
          <w:iCs/>
          <w:color w:val="000000"/>
          <w:sz w:val="20"/>
          <w:szCs w:val="20"/>
          <w:lang w:val="en-GB"/>
        </w:rPr>
        <w:t>, № 520</w:t>
      </w:r>
      <w:r w:rsidR="009B3DA6">
        <w:rPr>
          <w:color w:val="000000"/>
          <w:sz w:val="20"/>
          <w:szCs w:val="20"/>
          <w:lang w:val="en-GB"/>
        </w:rPr>
        <w:t>", available at:</w:t>
      </w:r>
      <w:r w:rsidR="009B3DA6">
        <w:rPr>
          <w:color w:val="000000"/>
          <w:lang w:val="en-US"/>
        </w:rPr>
        <w:t xml:space="preserve"> </w:t>
      </w:r>
      <w:hyperlink r:id="rId1" w:history="1">
        <w:r w:rsidR="009B3DA6">
          <w:rPr>
            <w:rStyle w:val="Hyperlink"/>
            <w:rFonts w:cs="Arial"/>
            <w:sz w:val="20"/>
            <w:szCs w:val="20"/>
            <w:lang w:val="en-GB"/>
          </w:rPr>
          <w:t>http://ru.government.kz/docs/p100000520_20100607.htm</w:t>
        </w:r>
      </w:hyperlink>
      <w:r w:rsidR="009B3DA6">
        <w:rPr>
          <w:color w:val="000000"/>
          <w:sz w:val="20"/>
          <w:szCs w:val="20"/>
          <w:lang w:val="en-GB"/>
        </w:rPr>
        <w:t xml:space="preserve">, accessed 10 July 2013. </w:t>
      </w:r>
      <w:r w:rsidR="009B3DA6" w:rsidRPr="009B3DA6">
        <w:rPr>
          <w:color w:val="000000"/>
          <w:sz w:val="20"/>
          <w:szCs w:val="20"/>
          <w:lang w:val="en-GB"/>
        </w:rPr>
        <w:t xml:space="preserve">Government of the Republic of Kazakhstan (2012): "O </w:t>
      </w:r>
      <w:proofErr w:type="spellStart"/>
      <w:r w:rsidR="009B3DA6" w:rsidRPr="009B3DA6">
        <w:rPr>
          <w:color w:val="000000"/>
          <w:sz w:val="20"/>
          <w:szCs w:val="20"/>
          <w:lang w:val="en-GB"/>
        </w:rPr>
        <w:t>Vnesenii</w:t>
      </w:r>
      <w:proofErr w:type="spellEnd"/>
      <w:r w:rsidR="009B3DA6" w:rsidRPr="009B3DA6">
        <w:rPr>
          <w:color w:val="000000"/>
          <w:sz w:val="20"/>
          <w:szCs w:val="20"/>
          <w:lang w:val="en-GB"/>
        </w:rPr>
        <w:t xml:space="preserve"> </w:t>
      </w:r>
      <w:proofErr w:type="spellStart"/>
      <w:r w:rsidR="009B3DA6" w:rsidRPr="009B3DA6">
        <w:rPr>
          <w:color w:val="000000"/>
          <w:sz w:val="20"/>
          <w:szCs w:val="20"/>
          <w:lang w:val="en-GB"/>
        </w:rPr>
        <w:t>Izmenenij</w:t>
      </w:r>
      <w:proofErr w:type="spellEnd"/>
      <w:r w:rsidR="009B3DA6" w:rsidRPr="009B3DA6">
        <w:rPr>
          <w:color w:val="000000"/>
          <w:sz w:val="20"/>
          <w:szCs w:val="20"/>
          <w:lang w:val="en-GB"/>
        </w:rPr>
        <w:t xml:space="preserve"> v </w:t>
      </w:r>
      <w:proofErr w:type="spellStart"/>
      <w:r w:rsidR="009B3DA6" w:rsidRPr="009B3DA6">
        <w:rPr>
          <w:color w:val="000000"/>
          <w:sz w:val="20"/>
          <w:szCs w:val="20"/>
          <w:lang w:val="en-GB"/>
        </w:rPr>
        <w:t>Postanovlenie</w:t>
      </w:r>
      <w:proofErr w:type="spellEnd"/>
      <w:r w:rsidR="009B3DA6" w:rsidRPr="009B3DA6">
        <w:rPr>
          <w:color w:val="000000"/>
          <w:sz w:val="20"/>
          <w:szCs w:val="20"/>
          <w:lang w:val="en-GB"/>
        </w:rPr>
        <w:t xml:space="preserve"> </w:t>
      </w:r>
      <w:proofErr w:type="spellStart"/>
      <w:r w:rsidR="009B3DA6" w:rsidRPr="009B3DA6">
        <w:rPr>
          <w:color w:val="000000"/>
          <w:sz w:val="20"/>
          <w:szCs w:val="20"/>
          <w:lang w:val="en-GB"/>
        </w:rPr>
        <w:t>Pravitelstva</w:t>
      </w:r>
      <w:proofErr w:type="spellEnd"/>
      <w:r w:rsidR="009B3DA6" w:rsidRPr="009B3DA6">
        <w:rPr>
          <w:color w:val="000000"/>
          <w:sz w:val="20"/>
          <w:szCs w:val="20"/>
          <w:lang w:val="en-GB"/>
        </w:rPr>
        <w:t xml:space="preserve"> </w:t>
      </w:r>
      <w:proofErr w:type="spellStart"/>
      <w:r w:rsidR="009B3DA6" w:rsidRPr="009B3DA6">
        <w:rPr>
          <w:color w:val="000000"/>
          <w:sz w:val="20"/>
          <w:szCs w:val="20"/>
          <w:lang w:val="en-GB"/>
        </w:rPr>
        <w:t>Respubliki</w:t>
      </w:r>
      <w:proofErr w:type="spellEnd"/>
      <w:r w:rsidR="009B3DA6" w:rsidRPr="009B3DA6">
        <w:rPr>
          <w:color w:val="000000"/>
          <w:sz w:val="20"/>
          <w:szCs w:val="20"/>
          <w:lang w:val="en-GB"/>
        </w:rPr>
        <w:t xml:space="preserve"> </w:t>
      </w:r>
      <w:proofErr w:type="spellStart"/>
      <w:r w:rsidR="009B3DA6" w:rsidRPr="009B3DA6">
        <w:rPr>
          <w:color w:val="000000"/>
          <w:sz w:val="20"/>
          <w:szCs w:val="20"/>
          <w:lang w:val="en-GB"/>
        </w:rPr>
        <w:t>Kazahstan</w:t>
      </w:r>
      <w:proofErr w:type="spellEnd"/>
      <w:r w:rsidR="009B3DA6" w:rsidRPr="009B3DA6">
        <w:rPr>
          <w:color w:val="000000"/>
          <w:sz w:val="20"/>
          <w:szCs w:val="20"/>
          <w:lang w:val="en-GB"/>
        </w:rPr>
        <w:t xml:space="preserve"> </w:t>
      </w:r>
      <w:proofErr w:type="spellStart"/>
      <w:proofErr w:type="gramStart"/>
      <w:r w:rsidR="009B3DA6" w:rsidRPr="009B3DA6">
        <w:rPr>
          <w:color w:val="000000"/>
          <w:sz w:val="20"/>
          <w:szCs w:val="20"/>
          <w:lang w:val="en-GB"/>
        </w:rPr>
        <w:t>ot</w:t>
      </w:r>
      <w:proofErr w:type="spellEnd"/>
      <w:proofErr w:type="gramEnd"/>
      <w:r w:rsidR="009B3DA6" w:rsidRPr="009B3DA6">
        <w:rPr>
          <w:color w:val="000000"/>
          <w:sz w:val="20"/>
          <w:szCs w:val="20"/>
          <w:lang w:val="en-GB"/>
        </w:rPr>
        <w:t xml:space="preserve"> 7 </w:t>
      </w:r>
      <w:proofErr w:type="spellStart"/>
      <w:r w:rsidR="009B3DA6" w:rsidRPr="009B3DA6">
        <w:rPr>
          <w:color w:val="000000"/>
          <w:sz w:val="20"/>
          <w:szCs w:val="20"/>
          <w:lang w:val="en-GB"/>
        </w:rPr>
        <w:t>Ijuna</w:t>
      </w:r>
      <w:proofErr w:type="spellEnd"/>
      <w:r w:rsidR="009B3DA6" w:rsidRPr="009B3DA6">
        <w:rPr>
          <w:color w:val="000000"/>
          <w:sz w:val="20"/>
          <w:szCs w:val="20"/>
          <w:lang w:val="en-GB"/>
        </w:rPr>
        <w:t xml:space="preserve"> 2010 </w:t>
      </w:r>
      <w:proofErr w:type="spellStart"/>
      <w:r w:rsidR="009B3DA6" w:rsidRPr="009B3DA6">
        <w:rPr>
          <w:color w:val="000000"/>
          <w:sz w:val="20"/>
          <w:szCs w:val="20"/>
          <w:lang w:val="en-GB"/>
        </w:rPr>
        <w:t>Goda</w:t>
      </w:r>
      <w:proofErr w:type="spellEnd"/>
      <w:r w:rsidR="009B3DA6" w:rsidRPr="009B3DA6">
        <w:rPr>
          <w:color w:val="000000"/>
          <w:sz w:val="20"/>
          <w:szCs w:val="20"/>
          <w:lang w:val="en-GB"/>
        </w:rPr>
        <w:t xml:space="preserve">, № 520. </w:t>
      </w:r>
      <w:proofErr w:type="spellStart"/>
      <w:r w:rsidR="009B3DA6" w:rsidRPr="009B3DA6">
        <w:rPr>
          <w:color w:val="000000"/>
          <w:sz w:val="20"/>
          <w:szCs w:val="20"/>
          <w:lang w:val="en-GB"/>
        </w:rPr>
        <w:t>Postanovlenie</w:t>
      </w:r>
      <w:proofErr w:type="spellEnd"/>
      <w:r w:rsidR="009B3DA6" w:rsidRPr="009B3DA6">
        <w:rPr>
          <w:color w:val="000000"/>
          <w:sz w:val="20"/>
          <w:szCs w:val="20"/>
          <w:lang w:val="en-GB"/>
        </w:rPr>
        <w:t xml:space="preserve"> </w:t>
      </w:r>
      <w:proofErr w:type="spellStart"/>
      <w:r w:rsidR="009B3DA6" w:rsidRPr="009B3DA6">
        <w:rPr>
          <w:color w:val="000000"/>
          <w:sz w:val="20"/>
          <w:szCs w:val="20"/>
          <w:lang w:val="en-GB"/>
        </w:rPr>
        <w:t>Pravitelstva</w:t>
      </w:r>
      <w:proofErr w:type="spellEnd"/>
      <w:r w:rsidR="009B3DA6" w:rsidRPr="009B3DA6">
        <w:rPr>
          <w:color w:val="000000"/>
          <w:sz w:val="20"/>
          <w:szCs w:val="20"/>
          <w:lang w:val="en-GB"/>
        </w:rPr>
        <w:t xml:space="preserve"> </w:t>
      </w:r>
      <w:proofErr w:type="spellStart"/>
      <w:r w:rsidR="009B3DA6" w:rsidRPr="009B3DA6">
        <w:rPr>
          <w:color w:val="000000"/>
          <w:sz w:val="20"/>
          <w:szCs w:val="20"/>
          <w:lang w:val="en-GB"/>
        </w:rPr>
        <w:t>Respubliki</w:t>
      </w:r>
      <w:proofErr w:type="spellEnd"/>
      <w:r w:rsidR="009B3DA6" w:rsidRPr="009B3DA6">
        <w:rPr>
          <w:color w:val="000000"/>
          <w:sz w:val="20"/>
          <w:szCs w:val="20"/>
          <w:lang w:val="en-GB"/>
        </w:rPr>
        <w:t xml:space="preserve"> </w:t>
      </w:r>
      <w:proofErr w:type="spellStart"/>
      <w:r w:rsidR="009B3DA6" w:rsidRPr="009B3DA6">
        <w:rPr>
          <w:color w:val="000000"/>
          <w:sz w:val="20"/>
          <w:szCs w:val="20"/>
          <w:lang w:val="en-GB"/>
        </w:rPr>
        <w:t>Kazahstan</w:t>
      </w:r>
      <w:proofErr w:type="spellEnd"/>
      <w:r w:rsidR="009B3DA6" w:rsidRPr="009B3DA6">
        <w:rPr>
          <w:color w:val="000000"/>
          <w:sz w:val="20"/>
          <w:szCs w:val="20"/>
          <w:lang w:val="en-GB"/>
        </w:rPr>
        <w:t xml:space="preserve"> </w:t>
      </w:r>
      <w:proofErr w:type="spellStart"/>
      <w:proofErr w:type="gramStart"/>
      <w:r w:rsidR="009B3DA6" w:rsidRPr="009B3DA6">
        <w:rPr>
          <w:color w:val="000000"/>
          <w:sz w:val="20"/>
          <w:szCs w:val="20"/>
          <w:lang w:val="en-GB"/>
        </w:rPr>
        <w:t>ot</w:t>
      </w:r>
      <w:proofErr w:type="spellEnd"/>
      <w:proofErr w:type="gramEnd"/>
      <w:r w:rsidR="009B3DA6" w:rsidRPr="009B3DA6">
        <w:rPr>
          <w:color w:val="000000"/>
          <w:sz w:val="20"/>
          <w:szCs w:val="20"/>
          <w:lang w:val="en-GB"/>
        </w:rPr>
        <w:t xml:space="preserve"> 15 </w:t>
      </w:r>
      <w:proofErr w:type="spellStart"/>
      <w:r w:rsidR="009B3DA6" w:rsidRPr="009B3DA6">
        <w:rPr>
          <w:color w:val="000000"/>
          <w:sz w:val="20"/>
          <w:szCs w:val="20"/>
          <w:lang w:val="en-GB"/>
        </w:rPr>
        <w:t>Oktiabria</w:t>
      </w:r>
      <w:proofErr w:type="spellEnd"/>
      <w:r w:rsidR="009B3DA6" w:rsidRPr="009B3DA6">
        <w:rPr>
          <w:color w:val="000000"/>
          <w:sz w:val="20"/>
          <w:szCs w:val="20"/>
          <w:lang w:val="en-GB"/>
        </w:rPr>
        <w:t xml:space="preserve"> 2012 </w:t>
      </w:r>
      <w:proofErr w:type="spellStart"/>
      <w:r w:rsidR="009B3DA6" w:rsidRPr="009B3DA6">
        <w:rPr>
          <w:color w:val="000000"/>
          <w:sz w:val="20"/>
          <w:szCs w:val="20"/>
          <w:lang w:val="en-GB"/>
        </w:rPr>
        <w:t>Goda</w:t>
      </w:r>
      <w:proofErr w:type="spellEnd"/>
      <w:r w:rsidR="009B3DA6" w:rsidRPr="009B3DA6">
        <w:rPr>
          <w:color w:val="000000"/>
          <w:sz w:val="20"/>
          <w:szCs w:val="20"/>
          <w:lang w:val="en-GB"/>
        </w:rPr>
        <w:t>, № 1312", available at: http://ru.government.kz/documents/premlaw/102012, accessed 10 July 2013.</w:t>
      </w:r>
    </w:p>
  </w:footnote>
  <w:footnote w:id="3">
    <w:p w:rsidR="00357567" w:rsidRPr="00A66F1E" w:rsidRDefault="00357567" w:rsidP="00C616E8">
      <w:pPr>
        <w:pStyle w:val="FootnoteText"/>
        <w:jc w:val="both"/>
        <w:rPr>
          <w:szCs w:val="18"/>
          <w:lang w:val="en-GB"/>
        </w:rPr>
      </w:pPr>
      <w:r w:rsidRPr="00A66F1E">
        <w:rPr>
          <w:rStyle w:val="FootnoteReference"/>
          <w:rFonts w:cs="Arial"/>
          <w:szCs w:val="18"/>
          <w:lang w:val="en-GB"/>
        </w:rPr>
        <w:footnoteRef/>
      </w:r>
      <w:r w:rsidRPr="00A66F1E">
        <w:rPr>
          <w:szCs w:val="18"/>
          <w:lang w:val="en-GB"/>
        </w:rPr>
        <w:t>Ibid.</w:t>
      </w:r>
    </w:p>
  </w:footnote>
  <w:footnote w:id="4">
    <w:p w:rsidR="00357567" w:rsidRPr="00A66F1E" w:rsidRDefault="00357567" w:rsidP="0028285B">
      <w:pPr>
        <w:pStyle w:val="FootnoteText"/>
        <w:jc w:val="both"/>
        <w:rPr>
          <w:szCs w:val="18"/>
          <w:lang w:val="en-GB"/>
        </w:rPr>
      </w:pPr>
      <w:r w:rsidRPr="00A66F1E">
        <w:rPr>
          <w:rStyle w:val="FootnoteReference"/>
          <w:rFonts w:cs="Arial"/>
          <w:szCs w:val="18"/>
          <w:lang w:val="en-GB"/>
        </w:rPr>
        <w:footnoteRef/>
      </w:r>
      <w:proofErr w:type="gramStart"/>
      <w:r w:rsidRPr="00A66F1E">
        <w:rPr>
          <w:szCs w:val="18"/>
          <w:lang w:val="en-GB"/>
        </w:rPr>
        <w:t>Ministry of Economy and Antitrust Policy.2012.</w:t>
      </w:r>
      <w:proofErr w:type="gramEnd"/>
      <w:r w:rsidRPr="00A66F1E">
        <w:rPr>
          <w:szCs w:val="18"/>
          <w:lang w:val="en-GB"/>
        </w:rPr>
        <w:t xml:space="preserve"> </w:t>
      </w:r>
      <w:proofErr w:type="spellStart"/>
      <w:proofErr w:type="gramStart"/>
      <w:r w:rsidRPr="00A66F1E">
        <w:rPr>
          <w:i/>
          <w:szCs w:val="18"/>
          <w:lang w:val="en-GB"/>
        </w:rPr>
        <w:t>Torgovayapolitika</w:t>
      </w:r>
      <w:proofErr w:type="spellEnd"/>
      <w:r w:rsidRPr="00A66F1E">
        <w:rPr>
          <w:szCs w:val="18"/>
          <w:lang w:val="en-GB"/>
        </w:rPr>
        <w:t>.</w:t>
      </w:r>
      <w:proofErr w:type="gramEnd"/>
      <w:r w:rsidRPr="00A66F1E">
        <w:rPr>
          <w:szCs w:val="18"/>
          <w:lang w:val="en-GB"/>
        </w:rPr>
        <w:t xml:space="preserve"> Available at http://www.mineconom.kg</w:t>
      </w:r>
    </w:p>
  </w:footnote>
  <w:footnote w:id="5">
    <w:p w:rsidR="00357567" w:rsidRPr="00A66F1E" w:rsidRDefault="00357567" w:rsidP="0028285B">
      <w:pPr>
        <w:pStyle w:val="FootnoteText"/>
        <w:jc w:val="both"/>
        <w:rPr>
          <w:sz w:val="21"/>
          <w:lang w:val="en-GB"/>
        </w:rPr>
      </w:pPr>
      <w:r w:rsidRPr="00A66F1E">
        <w:rPr>
          <w:rStyle w:val="FootnoteReference"/>
          <w:rFonts w:cs="Arial"/>
          <w:szCs w:val="18"/>
          <w:lang w:val="en-GB"/>
        </w:rPr>
        <w:footnoteRef/>
      </w:r>
      <w:proofErr w:type="gramStart"/>
      <w:r w:rsidRPr="00A66F1E">
        <w:rPr>
          <w:szCs w:val="18"/>
          <w:lang w:val="en-GB"/>
        </w:rPr>
        <w:t>World Bank.</w:t>
      </w:r>
      <w:proofErr w:type="gramEnd"/>
      <w:r w:rsidRPr="00A66F1E">
        <w:rPr>
          <w:szCs w:val="18"/>
          <w:lang w:val="en-GB"/>
        </w:rPr>
        <w:t xml:space="preserve">  2010. </w:t>
      </w:r>
      <w:r>
        <w:rPr>
          <w:szCs w:val="18"/>
          <w:lang w:val="en-GB"/>
        </w:rPr>
        <w:t>‘</w:t>
      </w:r>
      <w:r w:rsidRPr="00A66F1E">
        <w:rPr>
          <w:szCs w:val="18"/>
          <w:lang w:val="en-GB"/>
        </w:rPr>
        <w:t>Kyrgyz Republic Trade Brief</w:t>
      </w:r>
      <w:r>
        <w:rPr>
          <w:szCs w:val="18"/>
          <w:lang w:val="en-GB"/>
        </w:rPr>
        <w:t>’,</w:t>
      </w:r>
      <w:r w:rsidRPr="00A66F1E">
        <w:rPr>
          <w:szCs w:val="18"/>
          <w:lang w:val="en-GB"/>
        </w:rPr>
        <w:t xml:space="preserve"> </w:t>
      </w:r>
      <w:r w:rsidRPr="00A66F1E">
        <w:rPr>
          <w:i/>
          <w:szCs w:val="18"/>
          <w:lang w:val="en-GB"/>
        </w:rPr>
        <w:t>World Trade Indicators 2009/10: Country Trade Briefs</w:t>
      </w:r>
      <w:r w:rsidRPr="00A66F1E">
        <w:rPr>
          <w:szCs w:val="18"/>
          <w:lang w:val="en-GB"/>
        </w:rPr>
        <w:t xml:space="preserve">. Washington, DC: World Bank. </w:t>
      </w:r>
      <w:proofErr w:type="gramStart"/>
      <w:r w:rsidRPr="00A66F1E">
        <w:rPr>
          <w:szCs w:val="18"/>
          <w:lang w:val="en-GB"/>
        </w:rPr>
        <w:t>Available at http://www.worldbank.org/wti.</w:t>
      </w:r>
      <w:proofErr w:type="gramEnd"/>
    </w:p>
  </w:footnote>
  <w:footnote w:id="6">
    <w:p w:rsidR="00357567" w:rsidRPr="00A66F1E" w:rsidRDefault="00357567" w:rsidP="0028285B">
      <w:pPr>
        <w:pStyle w:val="FootnoteText"/>
        <w:jc w:val="both"/>
        <w:rPr>
          <w:lang w:val="en-GB"/>
        </w:rPr>
      </w:pPr>
      <w:r w:rsidRPr="00A66F1E">
        <w:rPr>
          <w:rStyle w:val="FootnoteReference"/>
          <w:rFonts w:cs="Arial"/>
          <w:lang w:val="en-GB"/>
        </w:rPr>
        <w:footnoteRef/>
      </w:r>
      <w:r w:rsidRPr="00A66F1E">
        <w:rPr>
          <w:lang w:val="en-GB"/>
        </w:rPr>
        <w:t xml:space="preserve">For example, since 2009 </w:t>
      </w:r>
      <w:r>
        <w:rPr>
          <w:lang w:val="en-GB"/>
        </w:rPr>
        <w:t xml:space="preserve">there has been </w:t>
      </w:r>
      <w:r w:rsidRPr="00A66F1E">
        <w:rPr>
          <w:lang w:val="en-GB"/>
        </w:rPr>
        <w:t>a 3% sales tax on exports of alumin</w:t>
      </w:r>
      <w:r>
        <w:rPr>
          <w:lang w:val="en-GB"/>
        </w:rPr>
        <w:t>i</w:t>
      </w:r>
      <w:r w:rsidRPr="00A66F1E">
        <w:rPr>
          <w:lang w:val="en-GB"/>
        </w:rPr>
        <w:t>um (one of the major exports) and 10% on cotton exports.</w:t>
      </w:r>
    </w:p>
  </w:footnote>
  <w:footnote w:id="7">
    <w:p w:rsidR="00357567" w:rsidRPr="00A66F1E" w:rsidRDefault="00357567" w:rsidP="0028285B">
      <w:pPr>
        <w:spacing w:after="0" w:line="240" w:lineRule="auto"/>
        <w:jc w:val="both"/>
        <w:rPr>
          <w:sz w:val="20"/>
          <w:szCs w:val="20"/>
          <w:lang w:val="en-GB"/>
        </w:rPr>
      </w:pPr>
      <w:r w:rsidRPr="00A66F1E">
        <w:rPr>
          <w:rStyle w:val="FootnoteReference"/>
          <w:rFonts w:cs="Arial"/>
          <w:sz w:val="20"/>
          <w:szCs w:val="20"/>
          <w:lang w:val="en-GB"/>
        </w:rPr>
        <w:footnoteRef/>
      </w:r>
      <w:r w:rsidRPr="00A66F1E">
        <w:rPr>
          <w:sz w:val="20"/>
          <w:szCs w:val="20"/>
          <w:lang w:val="en-GB"/>
        </w:rPr>
        <w:t xml:space="preserve">Nevertheless, approximately 24% of businesses in Tajikistan </w:t>
      </w:r>
      <w:r>
        <w:rPr>
          <w:sz w:val="20"/>
          <w:szCs w:val="20"/>
          <w:lang w:val="en-GB"/>
        </w:rPr>
        <w:t>cite</w:t>
      </w:r>
      <w:r w:rsidRPr="00A66F1E">
        <w:rPr>
          <w:sz w:val="20"/>
          <w:szCs w:val="20"/>
          <w:lang w:val="en-GB"/>
        </w:rPr>
        <w:t xml:space="preserve"> customs and trade regulations as a major constraint</w:t>
      </w:r>
      <w:r>
        <w:rPr>
          <w:sz w:val="20"/>
          <w:szCs w:val="20"/>
          <w:lang w:val="en-GB"/>
        </w:rPr>
        <w:t>,</w:t>
      </w:r>
      <w:r w:rsidRPr="00A66F1E">
        <w:rPr>
          <w:sz w:val="20"/>
          <w:szCs w:val="20"/>
          <w:lang w:val="en-GB"/>
        </w:rPr>
        <w:t xml:space="preserve"> compared with 17% worldwide, according to the World Bank's Enterprises Survey. To improve the situation, </w:t>
      </w:r>
      <w:r>
        <w:rPr>
          <w:sz w:val="20"/>
          <w:szCs w:val="20"/>
          <w:lang w:val="en-GB"/>
        </w:rPr>
        <w:t xml:space="preserve">approval has been given to </w:t>
      </w:r>
      <w:r w:rsidRPr="00A66F1E">
        <w:rPr>
          <w:sz w:val="20"/>
          <w:szCs w:val="20"/>
          <w:lang w:val="en-GB"/>
        </w:rPr>
        <w:t xml:space="preserve">the government resolution on creating a single window for export/import and transit procedures, its detailed implementation action plan and creation of a Coordination Committee on the implementation of the single window. The Coordination Committee commenced regular meetings with all key stakeholders in 2011. Similarly, by 2011, the </w:t>
      </w:r>
      <w:r>
        <w:rPr>
          <w:sz w:val="20"/>
          <w:szCs w:val="20"/>
          <w:lang w:val="en-GB"/>
        </w:rPr>
        <w:t>g</w:t>
      </w:r>
      <w:r w:rsidRPr="00A66F1E">
        <w:rPr>
          <w:sz w:val="20"/>
          <w:szCs w:val="20"/>
          <w:lang w:val="en-GB"/>
        </w:rPr>
        <w:t xml:space="preserve">overnment </w:t>
      </w:r>
      <w:r>
        <w:rPr>
          <w:sz w:val="20"/>
          <w:szCs w:val="20"/>
          <w:lang w:val="en-GB"/>
        </w:rPr>
        <w:t>had</w:t>
      </w:r>
      <w:r w:rsidRPr="00A66F1E">
        <w:rPr>
          <w:sz w:val="20"/>
          <w:szCs w:val="20"/>
          <w:lang w:val="en-GB"/>
        </w:rPr>
        <w:t xml:space="preserve"> adopted </w:t>
      </w:r>
      <w:r>
        <w:rPr>
          <w:sz w:val="20"/>
          <w:szCs w:val="20"/>
          <w:lang w:val="en-GB"/>
        </w:rPr>
        <w:t xml:space="preserve">a </w:t>
      </w:r>
      <w:r w:rsidRPr="00A66F1E">
        <w:rPr>
          <w:sz w:val="20"/>
          <w:szCs w:val="20"/>
          <w:lang w:val="en-GB"/>
        </w:rPr>
        <w:t xml:space="preserve">resolution on </w:t>
      </w:r>
      <w:r>
        <w:rPr>
          <w:sz w:val="20"/>
          <w:szCs w:val="20"/>
          <w:lang w:val="en-GB"/>
        </w:rPr>
        <w:t xml:space="preserve">the </w:t>
      </w:r>
      <w:r w:rsidRPr="00A66F1E">
        <w:rPr>
          <w:sz w:val="20"/>
          <w:szCs w:val="20"/>
          <w:lang w:val="en-GB"/>
        </w:rPr>
        <w:t>creation of a State Unitary Enterprise</w:t>
      </w:r>
      <w:r>
        <w:rPr>
          <w:sz w:val="20"/>
          <w:szCs w:val="20"/>
          <w:lang w:val="en-GB"/>
        </w:rPr>
        <w:t xml:space="preserve"> ‘</w:t>
      </w:r>
      <w:r w:rsidRPr="00A66F1E">
        <w:rPr>
          <w:sz w:val="20"/>
          <w:szCs w:val="20"/>
          <w:lang w:val="en-GB"/>
        </w:rPr>
        <w:t>Single Window Cent</w:t>
      </w:r>
      <w:r>
        <w:rPr>
          <w:sz w:val="20"/>
          <w:szCs w:val="20"/>
          <w:lang w:val="en-GB"/>
        </w:rPr>
        <w:t>re’, with an</w:t>
      </w:r>
      <w:r w:rsidRPr="00A66F1E">
        <w:rPr>
          <w:sz w:val="20"/>
          <w:szCs w:val="20"/>
          <w:lang w:val="en-GB"/>
        </w:rPr>
        <w:t xml:space="preserve"> approved charter. This initiative aims to reduce </w:t>
      </w:r>
      <w:r>
        <w:rPr>
          <w:sz w:val="20"/>
          <w:szCs w:val="20"/>
          <w:lang w:val="en-GB"/>
        </w:rPr>
        <w:t xml:space="preserve">the </w:t>
      </w:r>
      <w:r w:rsidRPr="00A66F1E">
        <w:rPr>
          <w:sz w:val="20"/>
          <w:szCs w:val="20"/>
          <w:lang w:val="en-GB"/>
        </w:rPr>
        <w:t xml:space="preserve">time and expenses incurred </w:t>
      </w:r>
      <w:r>
        <w:rPr>
          <w:sz w:val="20"/>
          <w:szCs w:val="20"/>
          <w:lang w:val="en-GB"/>
        </w:rPr>
        <w:t>in</w:t>
      </w:r>
      <w:r w:rsidRPr="00A66F1E">
        <w:rPr>
          <w:sz w:val="20"/>
          <w:szCs w:val="20"/>
          <w:lang w:val="en-GB"/>
        </w:rPr>
        <w:t xml:space="preserve"> conducting foreign trade activities and create </w:t>
      </w:r>
      <w:r>
        <w:rPr>
          <w:sz w:val="20"/>
          <w:szCs w:val="20"/>
          <w:lang w:val="en-GB"/>
        </w:rPr>
        <w:t xml:space="preserve">a </w:t>
      </w:r>
      <w:r w:rsidRPr="00A66F1E">
        <w:rPr>
          <w:sz w:val="20"/>
          <w:szCs w:val="20"/>
          <w:lang w:val="en-GB"/>
        </w:rPr>
        <w:t>better customs and trade environment.</w:t>
      </w:r>
    </w:p>
  </w:footnote>
  <w:footnote w:id="8">
    <w:p w:rsidR="00357567" w:rsidRPr="00A66F1E" w:rsidRDefault="00357567" w:rsidP="0028285B">
      <w:pPr>
        <w:autoSpaceDE w:val="0"/>
        <w:autoSpaceDN w:val="0"/>
        <w:adjustRightInd w:val="0"/>
        <w:spacing w:after="0" w:line="240" w:lineRule="auto"/>
        <w:jc w:val="both"/>
        <w:rPr>
          <w:sz w:val="20"/>
          <w:szCs w:val="20"/>
          <w:lang w:val="en-GB"/>
        </w:rPr>
      </w:pPr>
      <w:r w:rsidRPr="00A66F1E">
        <w:rPr>
          <w:rStyle w:val="FootnoteReference"/>
          <w:rFonts w:cs="Arial"/>
          <w:sz w:val="20"/>
          <w:szCs w:val="20"/>
          <w:lang w:val="en-GB"/>
        </w:rPr>
        <w:footnoteRef/>
      </w:r>
      <w:r>
        <w:rPr>
          <w:color w:val="000000"/>
          <w:sz w:val="20"/>
          <w:szCs w:val="20"/>
          <w:lang w:val="en-GB"/>
        </w:rPr>
        <w:t xml:space="preserve"> </w:t>
      </w:r>
      <w:proofErr w:type="gramStart"/>
      <w:r w:rsidRPr="00A66F1E">
        <w:rPr>
          <w:color w:val="000000"/>
          <w:sz w:val="20"/>
          <w:szCs w:val="20"/>
          <w:lang w:val="en-GB"/>
        </w:rPr>
        <w:t>World Bank.</w:t>
      </w:r>
      <w:proofErr w:type="gramEnd"/>
      <w:r w:rsidRPr="00A66F1E">
        <w:rPr>
          <w:color w:val="000000"/>
          <w:sz w:val="20"/>
          <w:szCs w:val="20"/>
          <w:lang w:val="en-GB"/>
        </w:rPr>
        <w:t xml:space="preserve"> 2010. </w:t>
      </w:r>
      <w:r>
        <w:rPr>
          <w:color w:val="000000"/>
          <w:sz w:val="20"/>
          <w:szCs w:val="20"/>
          <w:lang w:val="en-GB"/>
        </w:rPr>
        <w:t>‘</w:t>
      </w:r>
      <w:r w:rsidRPr="00A66F1E">
        <w:rPr>
          <w:color w:val="000000"/>
          <w:sz w:val="20"/>
          <w:szCs w:val="20"/>
          <w:lang w:val="en-GB"/>
        </w:rPr>
        <w:t>Turkmenistan Trade Brief</w:t>
      </w:r>
      <w:r>
        <w:rPr>
          <w:color w:val="000000"/>
          <w:sz w:val="20"/>
          <w:szCs w:val="20"/>
          <w:lang w:val="en-GB"/>
        </w:rPr>
        <w:t>’,</w:t>
      </w:r>
      <w:r w:rsidRPr="00A66F1E">
        <w:rPr>
          <w:color w:val="000000"/>
          <w:sz w:val="20"/>
          <w:szCs w:val="20"/>
          <w:lang w:val="en-GB"/>
        </w:rPr>
        <w:t xml:space="preserve"> </w:t>
      </w:r>
      <w:r w:rsidRPr="00A66F1E">
        <w:rPr>
          <w:i/>
          <w:iCs/>
          <w:color w:val="000000"/>
          <w:sz w:val="20"/>
          <w:szCs w:val="20"/>
          <w:lang w:val="en-GB"/>
        </w:rPr>
        <w:t>World Trade Indicators 2009/10: Country Trade Briefs</w:t>
      </w:r>
      <w:r w:rsidRPr="00A66F1E">
        <w:rPr>
          <w:color w:val="000000"/>
          <w:sz w:val="20"/>
          <w:szCs w:val="20"/>
          <w:lang w:val="en-GB"/>
        </w:rPr>
        <w:t xml:space="preserve">. Washington, DC: World Bank. </w:t>
      </w:r>
      <w:proofErr w:type="gramStart"/>
      <w:r w:rsidRPr="00A66F1E">
        <w:rPr>
          <w:color w:val="000000"/>
          <w:sz w:val="20"/>
          <w:szCs w:val="20"/>
          <w:lang w:val="en-GB"/>
        </w:rPr>
        <w:t xml:space="preserve">Available at </w:t>
      </w:r>
      <w:hyperlink r:id="rId2" w:history="1">
        <w:r w:rsidRPr="00A66F1E">
          <w:rPr>
            <w:rStyle w:val="Hyperlink"/>
            <w:rFonts w:cs="Arial"/>
            <w:sz w:val="20"/>
            <w:szCs w:val="20"/>
            <w:lang w:val="en-GB"/>
          </w:rPr>
          <w:t>http://www.worldbank.org/wti</w:t>
        </w:r>
      </w:hyperlink>
      <w:r w:rsidRPr="00A66F1E">
        <w:rPr>
          <w:rStyle w:val="Hyperlink"/>
          <w:rFonts w:cs="Arial"/>
          <w:sz w:val="20"/>
          <w:szCs w:val="20"/>
          <w:lang w:val="en-GB"/>
        </w:rPr>
        <w:t>.</w:t>
      </w:r>
      <w:proofErr w:type="gramEnd"/>
    </w:p>
  </w:footnote>
  <w:footnote w:id="9">
    <w:p w:rsidR="00357567" w:rsidRPr="00A66F1E" w:rsidRDefault="00357567" w:rsidP="0028285B">
      <w:pPr>
        <w:pStyle w:val="FootnoteText"/>
        <w:jc w:val="both"/>
        <w:rPr>
          <w:lang w:val="en-GB"/>
        </w:rPr>
      </w:pPr>
      <w:r w:rsidRPr="00A66F1E">
        <w:rPr>
          <w:rStyle w:val="FootnoteReference"/>
          <w:rFonts w:cs="Arial"/>
          <w:lang w:val="en-GB"/>
        </w:rPr>
        <w:footnoteRef/>
      </w:r>
      <w:r w:rsidRPr="00A66F1E">
        <w:rPr>
          <w:lang w:val="en-GB"/>
        </w:rPr>
        <w:t xml:space="preserve"> According to the World Bank, based on its 15.5</w:t>
      </w:r>
      <w:r>
        <w:rPr>
          <w:lang w:val="en-GB"/>
        </w:rPr>
        <w:t>%</w:t>
      </w:r>
      <w:r w:rsidRPr="00A66F1E">
        <w:rPr>
          <w:lang w:val="en-GB"/>
        </w:rPr>
        <w:t xml:space="preserve"> simple average of the MFN applied tariff, Uzbekistan has the most restrictive trade regime in the Europe and Central Asia (ECA) region and it is also more restrictive than that of an average low-income country (12.7</w:t>
      </w:r>
      <w:r>
        <w:rPr>
          <w:lang w:val="en-GB"/>
        </w:rPr>
        <w:t>%</w:t>
      </w:r>
      <w:r w:rsidRPr="00A66F1E">
        <w:rPr>
          <w:lang w:val="en-GB"/>
        </w:rPr>
        <w:t xml:space="preserve">). Based on the MFN applied tariff, it ranks 156th out of 181 countries (where </w:t>
      </w:r>
      <w:r>
        <w:rPr>
          <w:lang w:val="en-GB"/>
        </w:rPr>
        <w:t xml:space="preserve">no. </w:t>
      </w:r>
      <w:r w:rsidRPr="00A66F1E">
        <w:rPr>
          <w:lang w:val="en-GB"/>
        </w:rPr>
        <w:t>1 is least restrictive).</w:t>
      </w:r>
    </w:p>
  </w:footnote>
  <w:footnote w:id="10">
    <w:p w:rsidR="00357567" w:rsidRPr="00A66F1E" w:rsidRDefault="00357567" w:rsidP="0028285B">
      <w:pPr>
        <w:pStyle w:val="FootnoteText"/>
        <w:jc w:val="both"/>
        <w:rPr>
          <w:lang w:val="en-GB"/>
        </w:rPr>
      </w:pPr>
      <w:r w:rsidRPr="00A66F1E">
        <w:rPr>
          <w:rStyle w:val="FootnoteReference"/>
          <w:rFonts w:cs="Arial"/>
          <w:lang w:val="en-GB"/>
        </w:rPr>
        <w:footnoteRef/>
      </w:r>
      <w:r w:rsidRPr="00A66F1E">
        <w:rPr>
          <w:lang w:val="en-GB"/>
        </w:rPr>
        <w:t xml:space="preserve"> This is in line with Uzbekistan’s gradual approach to the transition from communism, relying heavily on the use of state controls, trade and foreign exchange restrictions, and large public investments.</w:t>
      </w:r>
    </w:p>
  </w:footnote>
  <w:footnote w:id="11">
    <w:p w:rsidR="00357567" w:rsidRPr="00A66F1E" w:rsidRDefault="00357567" w:rsidP="003E7477">
      <w:pPr>
        <w:pStyle w:val="FootnoteText"/>
        <w:rPr>
          <w:b/>
          <w:lang w:val="en-GB"/>
        </w:rPr>
      </w:pPr>
      <w:r w:rsidRPr="00A66F1E">
        <w:rPr>
          <w:rStyle w:val="FootnoteReference"/>
          <w:lang w:val="en-GB"/>
        </w:rPr>
        <w:footnoteRef/>
      </w:r>
      <w:r w:rsidRPr="00A66F1E">
        <w:rPr>
          <w:lang w:val="en-GB"/>
        </w:rPr>
        <w:t xml:space="preserve"> Source: Ta</w:t>
      </w:r>
      <w:r w:rsidR="003F4E5B">
        <w:rPr>
          <w:lang w:val="en-GB"/>
        </w:rPr>
        <w:t>jikistan State Statistics Agency</w:t>
      </w:r>
      <w:r w:rsidRPr="00A66F1E">
        <w:rPr>
          <w:lang w:val="en-GB"/>
        </w:rPr>
        <w:t xml:space="preserve"> </w:t>
      </w:r>
    </w:p>
    <w:p w:rsidR="00357567" w:rsidRPr="00A66F1E" w:rsidRDefault="00357567">
      <w:pPr>
        <w:pStyle w:val="FootnoteText"/>
        <w:rPr>
          <w:lang w:val="en-GB"/>
        </w:rPr>
      </w:pPr>
    </w:p>
  </w:footnote>
  <w:footnote w:id="12">
    <w:p w:rsidR="00357567" w:rsidRPr="00A66F1E" w:rsidRDefault="00357567" w:rsidP="003E7477">
      <w:pPr>
        <w:pStyle w:val="FootnoteText"/>
        <w:rPr>
          <w:lang w:val="en-GB"/>
        </w:rPr>
      </w:pPr>
      <w:r w:rsidRPr="00A66F1E">
        <w:rPr>
          <w:rStyle w:val="FootnoteReference"/>
          <w:lang w:val="en-GB"/>
        </w:rPr>
        <w:footnoteRef/>
      </w:r>
      <w:r w:rsidRPr="00A66F1E">
        <w:rPr>
          <w:lang w:val="en-GB"/>
        </w:rPr>
        <w:t xml:space="preserve"> </w:t>
      </w:r>
      <w:proofErr w:type="gramStart"/>
      <w:r w:rsidRPr="008017BF">
        <w:rPr>
          <w:i/>
          <w:lang w:val="en-GB"/>
        </w:rPr>
        <w:t>Turkmenistan Economic Autocracy and the recent Growth Performance,</w:t>
      </w:r>
      <w:r w:rsidRPr="00A66F1E">
        <w:rPr>
          <w:lang w:val="en-GB"/>
        </w:rPr>
        <w:t xml:space="preserve"> Alexandre </w:t>
      </w:r>
      <w:proofErr w:type="spellStart"/>
      <w:r w:rsidRPr="00A66F1E">
        <w:rPr>
          <w:lang w:val="en-GB"/>
        </w:rPr>
        <w:t>Repkine</w:t>
      </w:r>
      <w:proofErr w:type="spellEnd"/>
      <w:r w:rsidRPr="00A66F1E">
        <w:rPr>
          <w:lang w:val="en-GB"/>
        </w:rPr>
        <w:t>, February 2002</w:t>
      </w:r>
      <w:r w:rsidR="003F4E5B">
        <w:rPr>
          <w:lang w:val="en-GB"/>
        </w:rPr>
        <w:t>.</w:t>
      </w:r>
      <w:proofErr w:type="gramEnd"/>
      <w:r w:rsidR="003F4E5B">
        <w:rPr>
          <w:lang w:val="en-GB"/>
        </w:rPr>
        <w:t xml:space="preserve"> Available from: </w:t>
      </w:r>
      <w:r w:rsidR="003F4E5B" w:rsidRPr="003F4E5B">
        <w:rPr>
          <w:lang w:val="en-GB"/>
        </w:rPr>
        <w:t>http://psychologie.dev.czu.cz/stred-asie/html/CD/stredni_asie/Turkmenistan_</w:t>
      </w:r>
      <w:proofErr w:type="gramStart"/>
      <w:r w:rsidR="003F4E5B" w:rsidRPr="003F4E5B">
        <w:rPr>
          <w:lang w:val="en-GB"/>
        </w:rPr>
        <w:t>final.pdf</w:t>
      </w:r>
      <w:r w:rsidR="003F4E5B">
        <w:rPr>
          <w:lang w:val="en-GB"/>
        </w:rPr>
        <w:t xml:space="preserve"> ,</w:t>
      </w:r>
      <w:proofErr w:type="gramEnd"/>
      <w:r w:rsidR="003F4E5B">
        <w:rPr>
          <w:lang w:val="en-GB"/>
        </w:rPr>
        <w:t xml:space="preserve"> accessed 27 June 2013. </w:t>
      </w:r>
      <w:r w:rsidRPr="00A66F1E">
        <w:rPr>
          <w:lang w:val="en-GB"/>
        </w:rPr>
        <w:t xml:space="preserve">There </w:t>
      </w:r>
      <w:r>
        <w:rPr>
          <w:lang w:val="en-GB"/>
        </w:rPr>
        <w:t>are</w:t>
      </w:r>
      <w:r w:rsidRPr="00A66F1E">
        <w:rPr>
          <w:lang w:val="en-GB"/>
        </w:rPr>
        <w:t xml:space="preserve"> no </w:t>
      </w:r>
      <w:r>
        <w:rPr>
          <w:lang w:val="en-GB"/>
        </w:rPr>
        <w:t xml:space="preserve">data </w:t>
      </w:r>
      <w:r w:rsidRPr="00A66F1E">
        <w:rPr>
          <w:lang w:val="en-GB"/>
        </w:rPr>
        <w:t>available for 1991</w:t>
      </w:r>
      <w:r>
        <w:rPr>
          <w:lang w:val="en-GB"/>
        </w:rPr>
        <w:t>–</w:t>
      </w:r>
      <w:r w:rsidRPr="00A66F1E">
        <w:rPr>
          <w:lang w:val="en-GB"/>
        </w:rPr>
        <w:t xml:space="preserve">1995. </w:t>
      </w:r>
      <w:r>
        <w:rPr>
          <w:lang w:val="en-GB"/>
        </w:rPr>
        <w:t>According to</w:t>
      </w:r>
      <w:r w:rsidRPr="00A66F1E">
        <w:rPr>
          <w:lang w:val="en-GB"/>
        </w:rPr>
        <w:t>1</w:t>
      </w:r>
      <w:r w:rsidRPr="008017BF">
        <w:rPr>
          <w:i/>
          <w:lang w:val="en-GB"/>
        </w:rPr>
        <w:t xml:space="preserve">0 </w:t>
      </w:r>
      <w:proofErr w:type="spellStart"/>
      <w:r w:rsidRPr="008017BF">
        <w:rPr>
          <w:i/>
          <w:lang w:val="en-GB"/>
        </w:rPr>
        <w:t>славных</w:t>
      </w:r>
      <w:proofErr w:type="spellEnd"/>
      <w:r w:rsidRPr="008017BF">
        <w:rPr>
          <w:i/>
          <w:lang w:val="en-GB"/>
        </w:rPr>
        <w:t xml:space="preserve"> </w:t>
      </w:r>
      <w:proofErr w:type="spellStart"/>
      <w:r w:rsidRPr="008017BF">
        <w:rPr>
          <w:i/>
          <w:lang w:val="en-GB"/>
        </w:rPr>
        <w:t>лет</w:t>
      </w:r>
      <w:proofErr w:type="spellEnd"/>
      <w:r w:rsidRPr="008017BF">
        <w:rPr>
          <w:i/>
          <w:lang w:val="en-GB"/>
        </w:rPr>
        <w:t xml:space="preserve"> </w:t>
      </w:r>
      <w:proofErr w:type="spellStart"/>
      <w:r w:rsidRPr="008017BF">
        <w:rPr>
          <w:i/>
          <w:lang w:val="en-GB"/>
        </w:rPr>
        <w:t>эпохи</w:t>
      </w:r>
      <w:proofErr w:type="spellEnd"/>
      <w:r w:rsidRPr="008017BF">
        <w:rPr>
          <w:i/>
          <w:lang w:val="en-GB"/>
        </w:rPr>
        <w:t xml:space="preserve"> </w:t>
      </w:r>
      <w:proofErr w:type="spellStart"/>
      <w:r w:rsidRPr="008017BF">
        <w:rPr>
          <w:i/>
          <w:lang w:val="en-GB"/>
        </w:rPr>
        <w:t>Великого</w:t>
      </w:r>
      <w:proofErr w:type="spellEnd"/>
      <w:r w:rsidRPr="008017BF">
        <w:rPr>
          <w:i/>
          <w:lang w:val="en-GB"/>
        </w:rPr>
        <w:t xml:space="preserve"> </w:t>
      </w:r>
      <w:proofErr w:type="spellStart"/>
      <w:r w:rsidRPr="008017BF">
        <w:rPr>
          <w:i/>
          <w:lang w:val="en-GB"/>
        </w:rPr>
        <w:t>Туркменбаши</w:t>
      </w:r>
      <w:proofErr w:type="spellEnd"/>
      <w:r w:rsidRPr="00A66F1E">
        <w:rPr>
          <w:lang w:val="en-GB"/>
        </w:rPr>
        <w:t xml:space="preserve"> </w:t>
      </w:r>
      <w:r>
        <w:rPr>
          <w:lang w:val="en-GB"/>
        </w:rPr>
        <w:t>(</w:t>
      </w:r>
      <w:r w:rsidRPr="00A66F1E">
        <w:rPr>
          <w:lang w:val="en-GB"/>
        </w:rPr>
        <w:t>Ashgabat, 2001</w:t>
      </w:r>
      <w:r>
        <w:rPr>
          <w:lang w:val="en-GB"/>
        </w:rPr>
        <w:t>),</w:t>
      </w:r>
      <w:r w:rsidRPr="00A66F1E">
        <w:rPr>
          <w:lang w:val="en-GB"/>
        </w:rPr>
        <w:t xml:space="preserve"> </w:t>
      </w:r>
      <w:r>
        <w:rPr>
          <w:lang w:val="en-GB"/>
        </w:rPr>
        <w:t>‘</w:t>
      </w:r>
      <w:r w:rsidR="003F4E5B">
        <w:rPr>
          <w:lang w:val="en-GB"/>
        </w:rPr>
        <w:t>c</w:t>
      </w:r>
      <w:r w:rsidRPr="00A66F1E">
        <w:rPr>
          <w:lang w:val="en-GB"/>
        </w:rPr>
        <w:t xml:space="preserve">alculations were not </w:t>
      </w:r>
      <w:r>
        <w:rPr>
          <w:lang w:val="en-GB"/>
        </w:rPr>
        <w:t>computed’</w:t>
      </w:r>
      <w:r w:rsidRPr="00A66F1E">
        <w:rPr>
          <w:lang w:val="en-GB"/>
        </w:rPr>
        <w:t>.</w:t>
      </w:r>
      <w:r>
        <w:rPr>
          <w:lang w:val="en-GB"/>
        </w:rPr>
        <w:t xml:space="preserve"> Moreover, no statistical information is available on</w:t>
      </w:r>
      <w:r w:rsidRPr="00A66F1E">
        <w:rPr>
          <w:lang w:val="en-GB"/>
        </w:rPr>
        <w:t xml:space="preserve"> the 8</w:t>
      </w:r>
      <w:r w:rsidRPr="00A66F1E">
        <w:rPr>
          <w:vertAlign w:val="superscript"/>
          <w:lang w:val="en-GB"/>
        </w:rPr>
        <w:t>th</w:t>
      </w:r>
      <w:r w:rsidRPr="00A66F1E">
        <w:rPr>
          <w:lang w:val="en-GB"/>
        </w:rPr>
        <w:t xml:space="preserve"> export item.</w:t>
      </w:r>
    </w:p>
    <w:p w:rsidR="00357567" w:rsidRPr="00A66F1E" w:rsidRDefault="00357567">
      <w:pPr>
        <w:pStyle w:val="FootnoteText"/>
        <w:rPr>
          <w:lang w:val="en-GB"/>
        </w:rPr>
      </w:pPr>
    </w:p>
  </w:footnote>
  <w:footnote w:id="13">
    <w:p w:rsidR="00357567" w:rsidRPr="00A66F1E" w:rsidRDefault="00357567">
      <w:pPr>
        <w:pStyle w:val="FootnoteText"/>
        <w:rPr>
          <w:lang w:val="en-GB"/>
        </w:rPr>
      </w:pPr>
      <w:r w:rsidRPr="00A66F1E">
        <w:rPr>
          <w:rStyle w:val="FootnoteReference"/>
          <w:lang w:val="en-GB"/>
        </w:rPr>
        <w:footnoteRef/>
      </w:r>
      <w:r w:rsidRPr="00A66F1E">
        <w:rPr>
          <w:lang w:val="en-GB"/>
        </w:rPr>
        <w:t xml:space="preserve"> Sources: </w:t>
      </w:r>
      <w:proofErr w:type="spellStart"/>
      <w:r w:rsidR="00E65272">
        <w:fldChar w:fldCharType="begin"/>
      </w:r>
      <w:r w:rsidR="00E65272" w:rsidRPr="003A7DBA">
        <w:rPr>
          <w:lang w:val="en-GB"/>
        </w:rPr>
        <w:instrText xml:space="preserve"> HYPERLINK "http://www.marketing.vc/doc_view.php?issue=1331&amp;num=19315" \t "_blank" </w:instrText>
      </w:r>
      <w:r w:rsidR="00E65272">
        <w:fldChar w:fldCharType="separate"/>
      </w:r>
      <w:r w:rsidRPr="00A66F1E">
        <w:rPr>
          <w:rStyle w:val="Hyperlink"/>
          <w:rFonts w:cs="Arial"/>
          <w:lang w:val="en-GB"/>
        </w:rPr>
        <w:t>Отчеты</w:t>
      </w:r>
      <w:proofErr w:type="spellEnd"/>
      <w:r w:rsidRPr="00A66F1E">
        <w:rPr>
          <w:rStyle w:val="Hyperlink"/>
          <w:rFonts w:cs="Arial"/>
          <w:lang w:val="en-GB"/>
        </w:rPr>
        <w:t xml:space="preserve"> "</w:t>
      </w:r>
      <w:proofErr w:type="spellStart"/>
      <w:r w:rsidRPr="00A66F1E">
        <w:rPr>
          <w:rStyle w:val="Hyperlink"/>
          <w:rFonts w:cs="Arial"/>
          <w:lang w:val="en-GB"/>
        </w:rPr>
        <w:t>Основные</w:t>
      </w:r>
      <w:proofErr w:type="spellEnd"/>
      <w:r w:rsidRPr="00A66F1E">
        <w:rPr>
          <w:rStyle w:val="Hyperlink"/>
          <w:rFonts w:cs="Arial"/>
          <w:lang w:val="en-GB"/>
        </w:rPr>
        <w:t xml:space="preserve"> </w:t>
      </w:r>
      <w:proofErr w:type="spellStart"/>
      <w:r w:rsidRPr="00A66F1E">
        <w:rPr>
          <w:rStyle w:val="Hyperlink"/>
          <w:rFonts w:cs="Arial"/>
          <w:lang w:val="en-GB"/>
        </w:rPr>
        <w:t>показатели</w:t>
      </w:r>
      <w:proofErr w:type="spellEnd"/>
      <w:r w:rsidRPr="00A66F1E">
        <w:rPr>
          <w:rStyle w:val="Hyperlink"/>
          <w:rFonts w:cs="Arial"/>
          <w:lang w:val="en-GB"/>
        </w:rPr>
        <w:t xml:space="preserve"> </w:t>
      </w:r>
      <w:proofErr w:type="spellStart"/>
      <w:r w:rsidRPr="00A66F1E">
        <w:rPr>
          <w:rStyle w:val="Hyperlink"/>
          <w:rFonts w:cs="Arial"/>
          <w:lang w:val="en-GB"/>
        </w:rPr>
        <w:t>социально-экономического</w:t>
      </w:r>
      <w:proofErr w:type="spellEnd"/>
      <w:r w:rsidRPr="00A66F1E">
        <w:rPr>
          <w:rStyle w:val="Hyperlink"/>
          <w:rFonts w:cs="Arial"/>
          <w:lang w:val="en-GB"/>
        </w:rPr>
        <w:t xml:space="preserve"> </w:t>
      </w:r>
      <w:proofErr w:type="spellStart"/>
      <w:r w:rsidRPr="00A66F1E">
        <w:rPr>
          <w:rStyle w:val="Hyperlink"/>
          <w:rFonts w:cs="Arial"/>
          <w:lang w:val="en-GB"/>
        </w:rPr>
        <w:t>развития</w:t>
      </w:r>
      <w:proofErr w:type="spellEnd"/>
      <w:r w:rsidRPr="00A66F1E">
        <w:rPr>
          <w:rStyle w:val="Hyperlink"/>
          <w:rFonts w:cs="Arial"/>
          <w:lang w:val="en-GB"/>
        </w:rPr>
        <w:t xml:space="preserve"> </w:t>
      </w:r>
      <w:proofErr w:type="spellStart"/>
      <w:r w:rsidRPr="00A66F1E">
        <w:rPr>
          <w:rStyle w:val="Hyperlink"/>
          <w:rFonts w:cs="Arial"/>
          <w:lang w:val="en-GB"/>
        </w:rPr>
        <w:t>Республики</w:t>
      </w:r>
      <w:proofErr w:type="spellEnd"/>
      <w:r w:rsidRPr="00A66F1E">
        <w:rPr>
          <w:rStyle w:val="Hyperlink"/>
          <w:rFonts w:cs="Arial"/>
          <w:lang w:val="en-GB"/>
        </w:rPr>
        <w:t xml:space="preserve"> </w:t>
      </w:r>
      <w:proofErr w:type="spellStart"/>
      <w:r w:rsidRPr="00A66F1E">
        <w:rPr>
          <w:rStyle w:val="Hyperlink"/>
          <w:rFonts w:cs="Arial"/>
          <w:lang w:val="en-GB"/>
        </w:rPr>
        <w:t>Узбекистан</w:t>
      </w:r>
      <w:proofErr w:type="spellEnd"/>
      <w:r w:rsidRPr="00A66F1E">
        <w:rPr>
          <w:rStyle w:val="Hyperlink"/>
          <w:rFonts w:cs="Arial"/>
          <w:lang w:val="en-GB"/>
        </w:rPr>
        <w:t xml:space="preserve">» </w:t>
      </w:r>
      <w:proofErr w:type="spellStart"/>
      <w:r w:rsidRPr="00A66F1E">
        <w:rPr>
          <w:rStyle w:val="Hyperlink"/>
          <w:rFonts w:cs="Arial"/>
          <w:lang w:val="en-GB"/>
        </w:rPr>
        <w:t>за</w:t>
      </w:r>
      <w:proofErr w:type="spellEnd"/>
      <w:r w:rsidRPr="00A66F1E">
        <w:rPr>
          <w:rStyle w:val="Hyperlink"/>
          <w:rFonts w:cs="Arial"/>
          <w:lang w:val="en-GB"/>
        </w:rPr>
        <w:t xml:space="preserve"> 2006-2011 </w:t>
      </w:r>
      <w:proofErr w:type="spellStart"/>
      <w:r w:rsidRPr="00A66F1E">
        <w:rPr>
          <w:rStyle w:val="Hyperlink"/>
          <w:rFonts w:cs="Arial"/>
          <w:lang w:val="en-GB"/>
        </w:rPr>
        <w:t>года</w:t>
      </w:r>
      <w:proofErr w:type="spellEnd"/>
      <w:r w:rsidRPr="00A66F1E">
        <w:rPr>
          <w:rStyle w:val="Hyperlink"/>
          <w:rFonts w:cs="Arial"/>
          <w:lang w:val="en-GB"/>
        </w:rPr>
        <w:t>"</w:t>
      </w:r>
      <w:r w:rsidR="00E65272">
        <w:rPr>
          <w:rStyle w:val="Hyperlink"/>
          <w:rFonts w:cs="Arial"/>
          <w:lang w:val="en-GB"/>
        </w:rPr>
        <w:fldChar w:fldCharType="end"/>
      </w:r>
      <w:r w:rsidRPr="00A66F1E">
        <w:rPr>
          <w:lang w:val="en-GB"/>
        </w:rPr>
        <w:t xml:space="preserve">, </w:t>
      </w:r>
      <w:proofErr w:type="spellStart"/>
      <w:r w:rsidRPr="00A66F1E">
        <w:rPr>
          <w:lang w:val="en-GB"/>
        </w:rPr>
        <w:t>Информационно-аналитический</w:t>
      </w:r>
      <w:proofErr w:type="spellEnd"/>
      <w:r w:rsidRPr="00A66F1E">
        <w:rPr>
          <w:lang w:val="en-GB"/>
        </w:rPr>
        <w:t xml:space="preserve"> </w:t>
      </w:r>
      <w:proofErr w:type="spellStart"/>
      <w:r w:rsidRPr="00A66F1E">
        <w:rPr>
          <w:lang w:val="en-GB"/>
        </w:rPr>
        <w:t>oбзоры</w:t>
      </w:r>
      <w:proofErr w:type="spellEnd"/>
      <w:r w:rsidRPr="00A66F1E">
        <w:rPr>
          <w:lang w:val="en-GB"/>
        </w:rPr>
        <w:t xml:space="preserve"> “</w:t>
      </w:r>
      <w:proofErr w:type="spellStart"/>
      <w:r w:rsidRPr="00A66F1E">
        <w:rPr>
          <w:lang w:val="en-GB"/>
        </w:rPr>
        <w:t>Экономика</w:t>
      </w:r>
      <w:proofErr w:type="spellEnd"/>
      <w:r w:rsidRPr="00A66F1E">
        <w:rPr>
          <w:lang w:val="en-GB"/>
        </w:rPr>
        <w:t xml:space="preserve"> </w:t>
      </w:r>
      <w:proofErr w:type="spellStart"/>
      <w:r w:rsidRPr="00A66F1E">
        <w:rPr>
          <w:lang w:val="en-GB"/>
        </w:rPr>
        <w:t>Узбекистана</w:t>
      </w:r>
      <w:proofErr w:type="spellEnd"/>
      <w:r w:rsidRPr="00A66F1E">
        <w:rPr>
          <w:lang w:val="en-GB"/>
        </w:rPr>
        <w:t xml:space="preserve">” </w:t>
      </w:r>
      <w:proofErr w:type="spellStart"/>
      <w:r w:rsidRPr="00A66F1E">
        <w:rPr>
          <w:lang w:val="en-GB"/>
        </w:rPr>
        <w:t>за</w:t>
      </w:r>
      <w:proofErr w:type="spellEnd"/>
      <w:r w:rsidRPr="00A66F1E">
        <w:rPr>
          <w:lang w:val="en-GB"/>
        </w:rPr>
        <w:t xml:space="preserve"> 2003 – 2009 </w:t>
      </w:r>
      <w:proofErr w:type="spellStart"/>
      <w:r w:rsidRPr="00A66F1E">
        <w:rPr>
          <w:lang w:val="en-GB"/>
        </w:rPr>
        <w:t>г.г</w:t>
      </w:r>
      <w:proofErr w:type="spellEnd"/>
      <w:r w:rsidRPr="00A66F1E">
        <w:rPr>
          <w:lang w:val="en-GB"/>
        </w:rPr>
        <w:t>., IMF</w:t>
      </w:r>
      <w:r>
        <w:rPr>
          <w:lang w:val="en-GB"/>
        </w:rPr>
        <w:t xml:space="preserve"> </w:t>
      </w:r>
      <w:r w:rsidRPr="00A66F1E">
        <w:rPr>
          <w:lang w:val="en-GB"/>
        </w:rPr>
        <w:t>reports, Reports of the Centre for Economic Research, Uzbekistan.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C05"/>
    <w:multiLevelType w:val="hybridMultilevel"/>
    <w:tmpl w:val="72360D22"/>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
    <w:nsid w:val="0C9F61C4"/>
    <w:multiLevelType w:val="hybridMultilevel"/>
    <w:tmpl w:val="37DAFD52"/>
    <w:lvl w:ilvl="0" w:tplc="C6C62D8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C15039"/>
    <w:multiLevelType w:val="hybridMultilevel"/>
    <w:tmpl w:val="0122C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564A95"/>
    <w:multiLevelType w:val="hybridMultilevel"/>
    <w:tmpl w:val="5624FD7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EEA10B8"/>
    <w:multiLevelType w:val="multilevel"/>
    <w:tmpl w:val="08E4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03FB5"/>
    <w:multiLevelType w:val="hybridMultilevel"/>
    <w:tmpl w:val="BEF0B23C"/>
    <w:lvl w:ilvl="0" w:tplc="093ED75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B321CC"/>
    <w:multiLevelType w:val="hybridMultilevel"/>
    <w:tmpl w:val="B1CC708C"/>
    <w:lvl w:ilvl="0" w:tplc="0419000F">
      <w:start w:val="1"/>
      <w:numFmt w:val="decimal"/>
      <w:lvlText w:val="%1."/>
      <w:lvlJc w:val="left"/>
      <w:pPr>
        <w:ind w:left="1366" w:hanging="360"/>
      </w:pPr>
      <w:rPr>
        <w:rFonts w:cs="Times New Roman" w:hint="default"/>
      </w:rPr>
    </w:lvl>
    <w:lvl w:ilvl="1" w:tplc="04070019" w:tentative="1">
      <w:start w:val="1"/>
      <w:numFmt w:val="lowerLetter"/>
      <w:lvlText w:val="%2."/>
      <w:lvlJc w:val="left"/>
      <w:pPr>
        <w:tabs>
          <w:tab w:val="num" w:pos="2086"/>
        </w:tabs>
        <w:ind w:left="2086" w:hanging="360"/>
      </w:pPr>
      <w:rPr>
        <w:rFonts w:cs="Times New Roman"/>
      </w:rPr>
    </w:lvl>
    <w:lvl w:ilvl="2" w:tplc="0407001B" w:tentative="1">
      <w:start w:val="1"/>
      <w:numFmt w:val="lowerRoman"/>
      <w:lvlText w:val="%3."/>
      <w:lvlJc w:val="right"/>
      <w:pPr>
        <w:tabs>
          <w:tab w:val="num" w:pos="2806"/>
        </w:tabs>
        <w:ind w:left="2806" w:hanging="180"/>
      </w:pPr>
      <w:rPr>
        <w:rFonts w:cs="Times New Roman"/>
      </w:rPr>
    </w:lvl>
    <w:lvl w:ilvl="3" w:tplc="0407000F" w:tentative="1">
      <w:start w:val="1"/>
      <w:numFmt w:val="decimal"/>
      <w:lvlText w:val="%4."/>
      <w:lvlJc w:val="left"/>
      <w:pPr>
        <w:tabs>
          <w:tab w:val="num" w:pos="3526"/>
        </w:tabs>
        <w:ind w:left="3526" w:hanging="360"/>
      </w:pPr>
      <w:rPr>
        <w:rFonts w:cs="Times New Roman"/>
      </w:rPr>
    </w:lvl>
    <w:lvl w:ilvl="4" w:tplc="04070019" w:tentative="1">
      <w:start w:val="1"/>
      <w:numFmt w:val="lowerLetter"/>
      <w:lvlText w:val="%5."/>
      <w:lvlJc w:val="left"/>
      <w:pPr>
        <w:tabs>
          <w:tab w:val="num" w:pos="4246"/>
        </w:tabs>
        <w:ind w:left="4246" w:hanging="360"/>
      </w:pPr>
      <w:rPr>
        <w:rFonts w:cs="Times New Roman"/>
      </w:rPr>
    </w:lvl>
    <w:lvl w:ilvl="5" w:tplc="0407001B" w:tentative="1">
      <w:start w:val="1"/>
      <w:numFmt w:val="lowerRoman"/>
      <w:lvlText w:val="%6."/>
      <w:lvlJc w:val="right"/>
      <w:pPr>
        <w:tabs>
          <w:tab w:val="num" w:pos="4966"/>
        </w:tabs>
        <w:ind w:left="4966" w:hanging="180"/>
      </w:pPr>
      <w:rPr>
        <w:rFonts w:cs="Times New Roman"/>
      </w:rPr>
    </w:lvl>
    <w:lvl w:ilvl="6" w:tplc="0407000F" w:tentative="1">
      <w:start w:val="1"/>
      <w:numFmt w:val="decimal"/>
      <w:lvlText w:val="%7."/>
      <w:lvlJc w:val="left"/>
      <w:pPr>
        <w:tabs>
          <w:tab w:val="num" w:pos="5686"/>
        </w:tabs>
        <w:ind w:left="5686" w:hanging="360"/>
      </w:pPr>
      <w:rPr>
        <w:rFonts w:cs="Times New Roman"/>
      </w:rPr>
    </w:lvl>
    <w:lvl w:ilvl="7" w:tplc="04070019" w:tentative="1">
      <w:start w:val="1"/>
      <w:numFmt w:val="lowerLetter"/>
      <w:lvlText w:val="%8."/>
      <w:lvlJc w:val="left"/>
      <w:pPr>
        <w:tabs>
          <w:tab w:val="num" w:pos="6406"/>
        </w:tabs>
        <w:ind w:left="6406" w:hanging="360"/>
      </w:pPr>
      <w:rPr>
        <w:rFonts w:cs="Times New Roman"/>
      </w:rPr>
    </w:lvl>
    <w:lvl w:ilvl="8" w:tplc="0407001B" w:tentative="1">
      <w:start w:val="1"/>
      <w:numFmt w:val="lowerRoman"/>
      <w:lvlText w:val="%9."/>
      <w:lvlJc w:val="right"/>
      <w:pPr>
        <w:tabs>
          <w:tab w:val="num" w:pos="7126"/>
        </w:tabs>
        <w:ind w:left="7126" w:hanging="180"/>
      </w:pPr>
      <w:rPr>
        <w:rFonts w:cs="Times New Roman"/>
      </w:rPr>
    </w:lvl>
  </w:abstractNum>
  <w:abstractNum w:abstractNumId="7">
    <w:nsid w:val="418F51AA"/>
    <w:multiLevelType w:val="hybridMultilevel"/>
    <w:tmpl w:val="0122C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6748A9"/>
    <w:multiLevelType w:val="hybridMultilevel"/>
    <w:tmpl w:val="016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80172"/>
    <w:multiLevelType w:val="hybridMultilevel"/>
    <w:tmpl w:val="1D627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0F45AB3"/>
    <w:multiLevelType w:val="hybridMultilevel"/>
    <w:tmpl w:val="3694284A"/>
    <w:lvl w:ilvl="0" w:tplc="4506484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5A5E004F"/>
    <w:multiLevelType w:val="hybridMultilevel"/>
    <w:tmpl w:val="668ED5DC"/>
    <w:lvl w:ilvl="0" w:tplc="D55E2E32">
      <w:start w:val="1"/>
      <w:numFmt w:val="decimal"/>
      <w:lvlText w:val="%1."/>
      <w:lvlJc w:val="left"/>
      <w:pPr>
        <w:ind w:left="1004" w:hanging="360"/>
      </w:pPr>
      <w:rPr>
        <w:rFonts w:ascii="Arial" w:eastAsia="Times New Roman" w:hAnsi="Arial" w:cs="Arial"/>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5F837EFE"/>
    <w:multiLevelType w:val="hybridMultilevel"/>
    <w:tmpl w:val="3552F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1B3B3B"/>
    <w:multiLevelType w:val="hybridMultilevel"/>
    <w:tmpl w:val="0122C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12"/>
  </w:num>
  <w:num w:numId="5">
    <w:abstractNumId w:val="11"/>
  </w:num>
  <w:num w:numId="6">
    <w:abstractNumId w:val="10"/>
  </w:num>
  <w:num w:numId="7">
    <w:abstractNumId w:val="7"/>
  </w:num>
  <w:num w:numId="8">
    <w:abstractNumId w:val="13"/>
  </w:num>
  <w:num w:numId="9">
    <w:abstractNumId w:val="2"/>
  </w:num>
  <w:num w:numId="10">
    <w:abstractNumId w:val="6"/>
  </w:num>
  <w:num w:numId="11">
    <w:abstractNumId w:val="9"/>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9D"/>
    <w:rsid w:val="000171C4"/>
    <w:rsid w:val="0002016A"/>
    <w:rsid w:val="00022EA4"/>
    <w:rsid w:val="00025002"/>
    <w:rsid w:val="00025E11"/>
    <w:rsid w:val="00025E57"/>
    <w:rsid w:val="00034595"/>
    <w:rsid w:val="00036143"/>
    <w:rsid w:val="00042A7E"/>
    <w:rsid w:val="00043505"/>
    <w:rsid w:val="000440CB"/>
    <w:rsid w:val="00044CAB"/>
    <w:rsid w:val="00053FD9"/>
    <w:rsid w:val="00054914"/>
    <w:rsid w:val="00054FC8"/>
    <w:rsid w:val="00055029"/>
    <w:rsid w:val="00061BBD"/>
    <w:rsid w:val="000712E5"/>
    <w:rsid w:val="000944B2"/>
    <w:rsid w:val="000A403D"/>
    <w:rsid w:val="000A7ADC"/>
    <w:rsid w:val="000B4E58"/>
    <w:rsid w:val="000B5BAA"/>
    <w:rsid w:val="000B78C3"/>
    <w:rsid w:val="000C057A"/>
    <w:rsid w:val="000C2113"/>
    <w:rsid w:val="000C5EA7"/>
    <w:rsid w:val="000C6210"/>
    <w:rsid w:val="000C71B2"/>
    <w:rsid w:val="000C7C13"/>
    <w:rsid w:val="000E03F0"/>
    <w:rsid w:val="000E0A4A"/>
    <w:rsid w:val="000E231A"/>
    <w:rsid w:val="000F11DD"/>
    <w:rsid w:val="000F51C0"/>
    <w:rsid w:val="000F684B"/>
    <w:rsid w:val="001070BF"/>
    <w:rsid w:val="001176A1"/>
    <w:rsid w:val="001231E9"/>
    <w:rsid w:val="00124B1A"/>
    <w:rsid w:val="001315A7"/>
    <w:rsid w:val="00132893"/>
    <w:rsid w:val="00134C12"/>
    <w:rsid w:val="00143FC7"/>
    <w:rsid w:val="0016356F"/>
    <w:rsid w:val="001665CB"/>
    <w:rsid w:val="00171065"/>
    <w:rsid w:val="001713AD"/>
    <w:rsid w:val="00173EF4"/>
    <w:rsid w:val="001834D3"/>
    <w:rsid w:val="0018780A"/>
    <w:rsid w:val="00191174"/>
    <w:rsid w:val="001A120C"/>
    <w:rsid w:val="001A331E"/>
    <w:rsid w:val="001C035B"/>
    <w:rsid w:val="001C5F34"/>
    <w:rsid w:val="001C6E7E"/>
    <w:rsid w:val="0020081B"/>
    <w:rsid w:val="0020559F"/>
    <w:rsid w:val="00205A71"/>
    <w:rsid w:val="002127F7"/>
    <w:rsid w:val="00214F46"/>
    <w:rsid w:val="00221E23"/>
    <w:rsid w:val="0022590D"/>
    <w:rsid w:val="002300B9"/>
    <w:rsid w:val="00233693"/>
    <w:rsid w:val="00237123"/>
    <w:rsid w:val="00252E4D"/>
    <w:rsid w:val="002567F9"/>
    <w:rsid w:val="00265A95"/>
    <w:rsid w:val="00270857"/>
    <w:rsid w:val="0027695C"/>
    <w:rsid w:val="0028106C"/>
    <w:rsid w:val="0028285B"/>
    <w:rsid w:val="00282CFB"/>
    <w:rsid w:val="002A07DC"/>
    <w:rsid w:val="002A22AB"/>
    <w:rsid w:val="002A6794"/>
    <w:rsid w:val="002A7364"/>
    <w:rsid w:val="002A79C2"/>
    <w:rsid w:val="002C1D41"/>
    <w:rsid w:val="002C2D0A"/>
    <w:rsid w:val="002C3A26"/>
    <w:rsid w:val="002C6D38"/>
    <w:rsid w:val="002C6EF9"/>
    <w:rsid w:val="002F1D66"/>
    <w:rsid w:val="002F4699"/>
    <w:rsid w:val="00310570"/>
    <w:rsid w:val="00314EEF"/>
    <w:rsid w:val="00317DFA"/>
    <w:rsid w:val="00317E69"/>
    <w:rsid w:val="00324C6B"/>
    <w:rsid w:val="00326081"/>
    <w:rsid w:val="00326332"/>
    <w:rsid w:val="003271E0"/>
    <w:rsid w:val="00333BB3"/>
    <w:rsid w:val="00352CED"/>
    <w:rsid w:val="00356224"/>
    <w:rsid w:val="00357567"/>
    <w:rsid w:val="003609D1"/>
    <w:rsid w:val="00364B3D"/>
    <w:rsid w:val="00366D62"/>
    <w:rsid w:val="003718A9"/>
    <w:rsid w:val="00374C3F"/>
    <w:rsid w:val="00382E4D"/>
    <w:rsid w:val="00386217"/>
    <w:rsid w:val="003917ED"/>
    <w:rsid w:val="00395430"/>
    <w:rsid w:val="00397032"/>
    <w:rsid w:val="003A11B2"/>
    <w:rsid w:val="003A30B7"/>
    <w:rsid w:val="003A70BC"/>
    <w:rsid w:val="003A7DBA"/>
    <w:rsid w:val="003B04C9"/>
    <w:rsid w:val="003C14BF"/>
    <w:rsid w:val="003C2DEF"/>
    <w:rsid w:val="003C42BF"/>
    <w:rsid w:val="003C74F5"/>
    <w:rsid w:val="003D05FB"/>
    <w:rsid w:val="003D7CDF"/>
    <w:rsid w:val="003E6C30"/>
    <w:rsid w:val="003E7477"/>
    <w:rsid w:val="003F4E5B"/>
    <w:rsid w:val="003F627E"/>
    <w:rsid w:val="00401DCB"/>
    <w:rsid w:val="004054D3"/>
    <w:rsid w:val="00410DBA"/>
    <w:rsid w:val="00417958"/>
    <w:rsid w:val="00424935"/>
    <w:rsid w:val="00427C8A"/>
    <w:rsid w:val="004323C3"/>
    <w:rsid w:val="00442B97"/>
    <w:rsid w:val="00444148"/>
    <w:rsid w:val="00452170"/>
    <w:rsid w:val="0045531F"/>
    <w:rsid w:val="00456776"/>
    <w:rsid w:val="00456D2A"/>
    <w:rsid w:val="0045791E"/>
    <w:rsid w:val="00461A20"/>
    <w:rsid w:val="004622BE"/>
    <w:rsid w:val="00463F02"/>
    <w:rsid w:val="00464913"/>
    <w:rsid w:val="00470F3D"/>
    <w:rsid w:val="004710BC"/>
    <w:rsid w:val="00474108"/>
    <w:rsid w:val="00474F13"/>
    <w:rsid w:val="004821BE"/>
    <w:rsid w:val="00483EE8"/>
    <w:rsid w:val="00494289"/>
    <w:rsid w:val="00495A0A"/>
    <w:rsid w:val="004A6871"/>
    <w:rsid w:val="004A687C"/>
    <w:rsid w:val="004B1267"/>
    <w:rsid w:val="004C69BD"/>
    <w:rsid w:val="004C777E"/>
    <w:rsid w:val="004D3944"/>
    <w:rsid w:val="004D6183"/>
    <w:rsid w:val="004F0011"/>
    <w:rsid w:val="004F3A74"/>
    <w:rsid w:val="004F4A40"/>
    <w:rsid w:val="004F5AA2"/>
    <w:rsid w:val="004F6406"/>
    <w:rsid w:val="004F7A58"/>
    <w:rsid w:val="00505AF8"/>
    <w:rsid w:val="00512DB8"/>
    <w:rsid w:val="0051606B"/>
    <w:rsid w:val="005235F9"/>
    <w:rsid w:val="00524205"/>
    <w:rsid w:val="00533DF3"/>
    <w:rsid w:val="00540CE1"/>
    <w:rsid w:val="005520C2"/>
    <w:rsid w:val="00553C01"/>
    <w:rsid w:val="00560DD0"/>
    <w:rsid w:val="00565D63"/>
    <w:rsid w:val="00575607"/>
    <w:rsid w:val="00585915"/>
    <w:rsid w:val="0059225E"/>
    <w:rsid w:val="00596CED"/>
    <w:rsid w:val="005A77C7"/>
    <w:rsid w:val="005B20D5"/>
    <w:rsid w:val="005B3541"/>
    <w:rsid w:val="005B3EDE"/>
    <w:rsid w:val="005B5611"/>
    <w:rsid w:val="00603B58"/>
    <w:rsid w:val="0060712C"/>
    <w:rsid w:val="00613076"/>
    <w:rsid w:val="00613D06"/>
    <w:rsid w:val="00621B9F"/>
    <w:rsid w:val="00624A4C"/>
    <w:rsid w:val="0063663D"/>
    <w:rsid w:val="0064777E"/>
    <w:rsid w:val="006511EE"/>
    <w:rsid w:val="00654965"/>
    <w:rsid w:val="00654DF8"/>
    <w:rsid w:val="00656688"/>
    <w:rsid w:val="0066578A"/>
    <w:rsid w:val="00670320"/>
    <w:rsid w:val="00675FDC"/>
    <w:rsid w:val="0067789D"/>
    <w:rsid w:val="006878B2"/>
    <w:rsid w:val="0069254A"/>
    <w:rsid w:val="00693D91"/>
    <w:rsid w:val="006A00B6"/>
    <w:rsid w:val="006B3DB8"/>
    <w:rsid w:val="006D78F4"/>
    <w:rsid w:val="006E385D"/>
    <w:rsid w:val="006E54E7"/>
    <w:rsid w:val="006F48B6"/>
    <w:rsid w:val="0070084C"/>
    <w:rsid w:val="00702BEE"/>
    <w:rsid w:val="00702C6C"/>
    <w:rsid w:val="007142A0"/>
    <w:rsid w:val="00716B8D"/>
    <w:rsid w:val="0072198D"/>
    <w:rsid w:val="00724006"/>
    <w:rsid w:val="00752911"/>
    <w:rsid w:val="00760762"/>
    <w:rsid w:val="007724CB"/>
    <w:rsid w:val="00774E7A"/>
    <w:rsid w:val="007A72C9"/>
    <w:rsid w:val="007B09EB"/>
    <w:rsid w:val="007C1383"/>
    <w:rsid w:val="007C2350"/>
    <w:rsid w:val="007C7EC5"/>
    <w:rsid w:val="007D017B"/>
    <w:rsid w:val="007D435F"/>
    <w:rsid w:val="007E6431"/>
    <w:rsid w:val="007F668D"/>
    <w:rsid w:val="007F737D"/>
    <w:rsid w:val="008017BF"/>
    <w:rsid w:val="00806BDD"/>
    <w:rsid w:val="0081254E"/>
    <w:rsid w:val="008151B0"/>
    <w:rsid w:val="00825F0A"/>
    <w:rsid w:val="00826AAB"/>
    <w:rsid w:val="00840904"/>
    <w:rsid w:val="008501E9"/>
    <w:rsid w:val="008650DE"/>
    <w:rsid w:val="00865EB0"/>
    <w:rsid w:val="00866449"/>
    <w:rsid w:val="008665DD"/>
    <w:rsid w:val="00870507"/>
    <w:rsid w:val="008744F0"/>
    <w:rsid w:val="00885E7C"/>
    <w:rsid w:val="00894B1A"/>
    <w:rsid w:val="00895013"/>
    <w:rsid w:val="008953A6"/>
    <w:rsid w:val="008A28E1"/>
    <w:rsid w:val="008A35B0"/>
    <w:rsid w:val="008A6E3D"/>
    <w:rsid w:val="008B49D5"/>
    <w:rsid w:val="008B4CA8"/>
    <w:rsid w:val="008C15A7"/>
    <w:rsid w:val="008C2B95"/>
    <w:rsid w:val="008E1FE2"/>
    <w:rsid w:val="008E4A45"/>
    <w:rsid w:val="008E5C68"/>
    <w:rsid w:val="008F1369"/>
    <w:rsid w:val="008F6EDA"/>
    <w:rsid w:val="00906C4B"/>
    <w:rsid w:val="00907793"/>
    <w:rsid w:val="00911F22"/>
    <w:rsid w:val="0092199D"/>
    <w:rsid w:val="00921C1F"/>
    <w:rsid w:val="00924C1C"/>
    <w:rsid w:val="009272D6"/>
    <w:rsid w:val="009375E0"/>
    <w:rsid w:val="009432C3"/>
    <w:rsid w:val="009435AC"/>
    <w:rsid w:val="00950E1A"/>
    <w:rsid w:val="009527B7"/>
    <w:rsid w:val="0095482B"/>
    <w:rsid w:val="009548A4"/>
    <w:rsid w:val="00954E84"/>
    <w:rsid w:val="009553F6"/>
    <w:rsid w:val="00957107"/>
    <w:rsid w:val="00960667"/>
    <w:rsid w:val="0096573C"/>
    <w:rsid w:val="00965A53"/>
    <w:rsid w:val="00971A9B"/>
    <w:rsid w:val="00974C85"/>
    <w:rsid w:val="0097627F"/>
    <w:rsid w:val="009763D3"/>
    <w:rsid w:val="009911FB"/>
    <w:rsid w:val="009A6502"/>
    <w:rsid w:val="009B13C3"/>
    <w:rsid w:val="009B1E3B"/>
    <w:rsid w:val="009B3455"/>
    <w:rsid w:val="009B3DA6"/>
    <w:rsid w:val="009B4214"/>
    <w:rsid w:val="009D0484"/>
    <w:rsid w:val="009D4336"/>
    <w:rsid w:val="009E018D"/>
    <w:rsid w:val="009E1E90"/>
    <w:rsid w:val="009F5B96"/>
    <w:rsid w:val="00A079D5"/>
    <w:rsid w:val="00A1563E"/>
    <w:rsid w:val="00A30C8C"/>
    <w:rsid w:val="00A33749"/>
    <w:rsid w:val="00A36003"/>
    <w:rsid w:val="00A452F5"/>
    <w:rsid w:val="00A474F3"/>
    <w:rsid w:val="00A57185"/>
    <w:rsid w:val="00A63A6C"/>
    <w:rsid w:val="00A66F1E"/>
    <w:rsid w:val="00A717E6"/>
    <w:rsid w:val="00A72C8E"/>
    <w:rsid w:val="00A74124"/>
    <w:rsid w:val="00A832B2"/>
    <w:rsid w:val="00A906FE"/>
    <w:rsid w:val="00A96EBD"/>
    <w:rsid w:val="00AA137B"/>
    <w:rsid w:val="00AA1577"/>
    <w:rsid w:val="00AA3363"/>
    <w:rsid w:val="00AA6AD9"/>
    <w:rsid w:val="00AA6B68"/>
    <w:rsid w:val="00AB0961"/>
    <w:rsid w:val="00AB713D"/>
    <w:rsid w:val="00AC0730"/>
    <w:rsid w:val="00AC2F02"/>
    <w:rsid w:val="00AC54DF"/>
    <w:rsid w:val="00AC67B8"/>
    <w:rsid w:val="00AD48CF"/>
    <w:rsid w:val="00AE1A5C"/>
    <w:rsid w:val="00AE2B67"/>
    <w:rsid w:val="00AE341D"/>
    <w:rsid w:val="00B03E67"/>
    <w:rsid w:val="00B07E1F"/>
    <w:rsid w:val="00B17089"/>
    <w:rsid w:val="00B207A8"/>
    <w:rsid w:val="00B23697"/>
    <w:rsid w:val="00B2374A"/>
    <w:rsid w:val="00B24311"/>
    <w:rsid w:val="00B332FF"/>
    <w:rsid w:val="00B346F2"/>
    <w:rsid w:val="00B5423A"/>
    <w:rsid w:val="00B57C8A"/>
    <w:rsid w:val="00B60526"/>
    <w:rsid w:val="00B66225"/>
    <w:rsid w:val="00B677D1"/>
    <w:rsid w:val="00B71807"/>
    <w:rsid w:val="00B71909"/>
    <w:rsid w:val="00B73C15"/>
    <w:rsid w:val="00B863A8"/>
    <w:rsid w:val="00BA1E69"/>
    <w:rsid w:val="00BA40C9"/>
    <w:rsid w:val="00BB7DE8"/>
    <w:rsid w:val="00BC01F5"/>
    <w:rsid w:val="00BD10FD"/>
    <w:rsid w:val="00BD1A2C"/>
    <w:rsid w:val="00BD4E77"/>
    <w:rsid w:val="00BD7189"/>
    <w:rsid w:val="00BD73C7"/>
    <w:rsid w:val="00BE27DC"/>
    <w:rsid w:val="00BF1CF8"/>
    <w:rsid w:val="00BF6490"/>
    <w:rsid w:val="00BF7750"/>
    <w:rsid w:val="00C11B68"/>
    <w:rsid w:val="00C16870"/>
    <w:rsid w:val="00C16C7E"/>
    <w:rsid w:val="00C17F6E"/>
    <w:rsid w:val="00C33503"/>
    <w:rsid w:val="00C410EA"/>
    <w:rsid w:val="00C45459"/>
    <w:rsid w:val="00C4688F"/>
    <w:rsid w:val="00C47256"/>
    <w:rsid w:val="00C616E8"/>
    <w:rsid w:val="00C709EC"/>
    <w:rsid w:val="00C75A53"/>
    <w:rsid w:val="00C77052"/>
    <w:rsid w:val="00C94EBD"/>
    <w:rsid w:val="00C964AD"/>
    <w:rsid w:val="00CA6ACF"/>
    <w:rsid w:val="00CB3A89"/>
    <w:rsid w:val="00CB4264"/>
    <w:rsid w:val="00CD07AA"/>
    <w:rsid w:val="00CD592F"/>
    <w:rsid w:val="00CE2C2B"/>
    <w:rsid w:val="00CF626F"/>
    <w:rsid w:val="00CF67FB"/>
    <w:rsid w:val="00D036F4"/>
    <w:rsid w:val="00D07F6A"/>
    <w:rsid w:val="00D16BE4"/>
    <w:rsid w:val="00D21952"/>
    <w:rsid w:val="00D22FAA"/>
    <w:rsid w:val="00D25182"/>
    <w:rsid w:val="00D26A72"/>
    <w:rsid w:val="00D33070"/>
    <w:rsid w:val="00D37BDF"/>
    <w:rsid w:val="00D47373"/>
    <w:rsid w:val="00D54657"/>
    <w:rsid w:val="00D579CA"/>
    <w:rsid w:val="00D60C9C"/>
    <w:rsid w:val="00D64907"/>
    <w:rsid w:val="00D66ADC"/>
    <w:rsid w:val="00D66EDE"/>
    <w:rsid w:val="00D741D5"/>
    <w:rsid w:val="00D84F19"/>
    <w:rsid w:val="00D84FAD"/>
    <w:rsid w:val="00D87BF2"/>
    <w:rsid w:val="00D92F86"/>
    <w:rsid w:val="00DA15A1"/>
    <w:rsid w:val="00DB651F"/>
    <w:rsid w:val="00DB660C"/>
    <w:rsid w:val="00DC310F"/>
    <w:rsid w:val="00DC6879"/>
    <w:rsid w:val="00DD05D5"/>
    <w:rsid w:val="00DD140F"/>
    <w:rsid w:val="00DD2606"/>
    <w:rsid w:val="00DD4F03"/>
    <w:rsid w:val="00DD5C67"/>
    <w:rsid w:val="00DE018F"/>
    <w:rsid w:val="00DE672B"/>
    <w:rsid w:val="00DF0499"/>
    <w:rsid w:val="00E02C05"/>
    <w:rsid w:val="00E0500C"/>
    <w:rsid w:val="00E0573F"/>
    <w:rsid w:val="00E14A0F"/>
    <w:rsid w:val="00E25208"/>
    <w:rsid w:val="00E25C1A"/>
    <w:rsid w:val="00E322A6"/>
    <w:rsid w:val="00E332CF"/>
    <w:rsid w:val="00E35A8B"/>
    <w:rsid w:val="00E4042D"/>
    <w:rsid w:val="00E4147E"/>
    <w:rsid w:val="00E42B11"/>
    <w:rsid w:val="00E50B4F"/>
    <w:rsid w:val="00E52957"/>
    <w:rsid w:val="00E619A3"/>
    <w:rsid w:val="00E65272"/>
    <w:rsid w:val="00E65AEA"/>
    <w:rsid w:val="00E85030"/>
    <w:rsid w:val="00E855FE"/>
    <w:rsid w:val="00E861C2"/>
    <w:rsid w:val="00E86C5D"/>
    <w:rsid w:val="00E86DDF"/>
    <w:rsid w:val="00EA4A3C"/>
    <w:rsid w:val="00EB3F88"/>
    <w:rsid w:val="00EC3497"/>
    <w:rsid w:val="00EC6A0C"/>
    <w:rsid w:val="00ED52C3"/>
    <w:rsid w:val="00ED692C"/>
    <w:rsid w:val="00ED79D7"/>
    <w:rsid w:val="00ED7DCE"/>
    <w:rsid w:val="00EE2AA1"/>
    <w:rsid w:val="00EE528D"/>
    <w:rsid w:val="00EE6976"/>
    <w:rsid w:val="00EE7D2D"/>
    <w:rsid w:val="00EE7ED8"/>
    <w:rsid w:val="00F014B4"/>
    <w:rsid w:val="00F0342C"/>
    <w:rsid w:val="00F05110"/>
    <w:rsid w:val="00F10817"/>
    <w:rsid w:val="00F122EF"/>
    <w:rsid w:val="00F34F78"/>
    <w:rsid w:val="00F365E5"/>
    <w:rsid w:val="00F411A3"/>
    <w:rsid w:val="00F560AF"/>
    <w:rsid w:val="00F56EC2"/>
    <w:rsid w:val="00F624F2"/>
    <w:rsid w:val="00F64010"/>
    <w:rsid w:val="00F65E5C"/>
    <w:rsid w:val="00F671B9"/>
    <w:rsid w:val="00F7008B"/>
    <w:rsid w:val="00F702C1"/>
    <w:rsid w:val="00F742F1"/>
    <w:rsid w:val="00F84E1E"/>
    <w:rsid w:val="00F870E2"/>
    <w:rsid w:val="00F90625"/>
    <w:rsid w:val="00F92DCE"/>
    <w:rsid w:val="00FA7F63"/>
    <w:rsid w:val="00FB07E3"/>
    <w:rsid w:val="00FB5FDA"/>
    <w:rsid w:val="00FB75C1"/>
    <w:rsid w:val="00FC4562"/>
    <w:rsid w:val="00FC5AA7"/>
    <w:rsid w:val="00FC66C5"/>
    <w:rsid w:val="00FC7B7B"/>
    <w:rsid w:val="00FD267C"/>
    <w:rsid w:val="00FD4A14"/>
    <w:rsid w:val="00FD72AF"/>
    <w:rsid w:val="00FE1D45"/>
    <w:rsid w:val="00FE2EA4"/>
    <w:rsid w:val="00FE643F"/>
    <w:rsid w:val="00FF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6"/>
    <w:pPr>
      <w:spacing w:after="200" w:line="276" w:lineRule="auto"/>
    </w:pPr>
    <w:rPr>
      <w:lang w:val="ru-RU" w:eastAsia="en-US"/>
    </w:rPr>
  </w:style>
  <w:style w:type="paragraph" w:styleId="Heading1">
    <w:name w:val="heading 1"/>
    <w:basedOn w:val="Normal"/>
    <w:next w:val="Normal"/>
    <w:link w:val="Heading1Char"/>
    <w:uiPriority w:val="99"/>
    <w:qFormat/>
    <w:rsid w:val="0092199D"/>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99D"/>
    <w:rPr>
      <w:rFonts w:ascii="Cambria" w:eastAsia="SimSun" w:hAnsi="Cambria" w:cs="Times New Roman"/>
      <w:b/>
      <w:bCs/>
      <w:color w:val="365F91"/>
      <w:sz w:val="28"/>
      <w:szCs w:val="28"/>
    </w:rPr>
  </w:style>
  <w:style w:type="paragraph" w:styleId="BalloonText">
    <w:name w:val="Balloon Text"/>
    <w:basedOn w:val="Normal"/>
    <w:link w:val="BalloonTextChar"/>
    <w:uiPriority w:val="99"/>
    <w:semiHidden/>
    <w:rsid w:val="00134C1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34C12"/>
    <w:rPr>
      <w:rFonts w:ascii="Lucida Grande" w:hAnsi="Lucida Grande" w:cs="Times New Roman"/>
      <w:sz w:val="18"/>
      <w:szCs w:val="18"/>
    </w:rPr>
  </w:style>
  <w:style w:type="paragraph" w:styleId="ListParagraph">
    <w:name w:val="List Paragraph"/>
    <w:basedOn w:val="Normal"/>
    <w:uiPriority w:val="99"/>
    <w:qFormat/>
    <w:rsid w:val="001315A7"/>
    <w:pPr>
      <w:ind w:left="720"/>
      <w:contextualSpacing/>
    </w:pPr>
  </w:style>
  <w:style w:type="character" w:styleId="CommentReference">
    <w:name w:val="annotation reference"/>
    <w:basedOn w:val="DefaultParagraphFont"/>
    <w:uiPriority w:val="99"/>
    <w:semiHidden/>
    <w:rsid w:val="00FC4562"/>
    <w:rPr>
      <w:rFonts w:cs="Times New Roman"/>
      <w:sz w:val="18"/>
      <w:szCs w:val="18"/>
    </w:rPr>
  </w:style>
  <w:style w:type="paragraph" w:styleId="CommentText">
    <w:name w:val="annotation text"/>
    <w:basedOn w:val="Normal"/>
    <w:link w:val="CommentTextChar"/>
    <w:uiPriority w:val="99"/>
    <w:semiHidden/>
    <w:rsid w:val="00FC456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FC4562"/>
    <w:rPr>
      <w:rFonts w:cs="Times New Roman"/>
      <w:sz w:val="24"/>
      <w:szCs w:val="24"/>
    </w:rPr>
  </w:style>
  <w:style w:type="paragraph" w:styleId="CommentSubject">
    <w:name w:val="annotation subject"/>
    <w:basedOn w:val="CommentText"/>
    <w:next w:val="CommentText"/>
    <w:link w:val="CommentSubjectChar"/>
    <w:uiPriority w:val="99"/>
    <w:semiHidden/>
    <w:rsid w:val="00FC4562"/>
    <w:rPr>
      <w:b/>
      <w:bCs/>
      <w:sz w:val="20"/>
      <w:szCs w:val="20"/>
    </w:rPr>
  </w:style>
  <w:style w:type="character" w:customStyle="1" w:styleId="CommentSubjectChar">
    <w:name w:val="Comment Subject Char"/>
    <w:basedOn w:val="CommentTextChar"/>
    <w:link w:val="CommentSubject"/>
    <w:uiPriority w:val="99"/>
    <w:semiHidden/>
    <w:locked/>
    <w:rsid w:val="00FC4562"/>
    <w:rPr>
      <w:rFonts w:cs="Times New Roman"/>
      <w:b/>
      <w:bCs/>
      <w:sz w:val="20"/>
      <w:szCs w:val="20"/>
    </w:rPr>
  </w:style>
  <w:style w:type="paragraph" w:customStyle="1" w:styleId="Default">
    <w:name w:val="Default"/>
    <w:rsid w:val="00AB0961"/>
    <w:pPr>
      <w:autoSpaceDE w:val="0"/>
      <w:autoSpaceDN w:val="0"/>
      <w:adjustRightInd w:val="0"/>
    </w:pPr>
    <w:rPr>
      <w:rFonts w:ascii="Garamond" w:hAnsi="Garamond" w:cs="Garamond"/>
      <w:color w:val="000000"/>
      <w:sz w:val="24"/>
      <w:szCs w:val="24"/>
      <w:lang w:val="ru-RU" w:eastAsia="en-US"/>
    </w:rPr>
  </w:style>
  <w:style w:type="table" w:styleId="TableGrid">
    <w:name w:val="Table Grid"/>
    <w:basedOn w:val="TableNormal"/>
    <w:uiPriority w:val="99"/>
    <w:rsid w:val="007142A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uiPriority w:val="99"/>
    <w:rsid w:val="00F624F2"/>
    <w:rPr>
      <w:rFonts w:cs="Times New Roman"/>
    </w:rPr>
  </w:style>
  <w:style w:type="character" w:styleId="Hyperlink">
    <w:name w:val="Hyperlink"/>
    <w:basedOn w:val="DefaultParagraphFont"/>
    <w:uiPriority w:val="99"/>
    <w:rsid w:val="00D47373"/>
    <w:rPr>
      <w:rFonts w:cs="Times New Roman"/>
      <w:color w:val="0000FF"/>
      <w:u w:val="single"/>
    </w:rPr>
  </w:style>
  <w:style w:type="character" w:customStyle="1" w:styleId="apple-converted-space">
    <w:name w:val="apple-converted-space"/>
    <w:basedOn w:val="DefaultParagraphFont"/>
    <w:uiPriority w:val="99"/>
    <w:rsid w:val="008A35B0"/>
    <w:rPr>
      <w:rFonts w:cs="Times New Roman"/>
    </w:rPr>
  </w:style>
  <w:style w:type="character" w:styleId="Emphasis">
    <w:name w:val="Emphasis"/>
    <w:basedOn w:val="DefaultParagraphFont"/>
    <w:uiPriority w:val="99"/>
    <w:qFormat/>
    <w:rsid w:val="008A35B0"/>
    <w:rPr>
      <w:rFonts w:cs="Times New Roman"/>
      <w:i/>
      <w:iCs/>
    </w:rPr>
  </w:style>
  <w:style w:type="paragraph" w:styleId="Header">
    <w:name w:val="header"/>
    <w:basedOn w:val="Normal"/>
    <w:link w:val="HeaderChar"/>
    <w:uiPriority w:val="99"/>
    <w:rsid w:val="00F906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90625"/>
    <w:rPr>
      <w:rFonts w:cs="Times New Roman"/>
    </w:rPr>
  </w:style>
  <w:style w:type="paragraph" w:styleId="Footer">
    <w:name w:val="footer"/>
    <w:basedOn w:val="Normal"/>
    <w:link w:val="FooterChar"/>
    <w:uiPriority w:val="99"/>
    <w:rsid w:val="00F906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90625"/>
    <w:rPr>
      <w:rFonts w:cs="Times New Roman"/>
    </w:rPr>
  </w:style>
  <w:style w:type="paragraph" w:styleId="FootnoteText">
    <w:name w:val="footnote text"/>
    <w:basedOn w:val="Normal"/>
    <w:link w:val="FootnoteTextChar"/>
    <w:uiPriority w:val="99"/>
    <w:semiHidden/>
    <w:rsid w:val="004323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23C3"/>
    <w:rPr>
      <w:rFonts w:cs="Times New Roman"/>
      <w:sz w:val="20"/>
      <w:szCs w:val="20"/>
    </w:rPr>
  </w:style>
  <w:style w:type="character" w:styleId="FootnoteReference">
    <w:name w:val="footnote reference"/>
    <w:basedOn w:val="DefaultParagraphFont"/>
    <w:uiPriority w:val="99"/>
    <w:semiHidden/>
    <w:rsid w:val="004323C3"/>
    <w:rPr>
      <w:rFonts w:cs="Times New Roman"/>
      <w:vertAlign w:val="superscript"/>
    </w:rPr>
  </w:style>
  <w:style w:type="paragraph" w:styleId="EndnoteText">
    <w:name w:val="endnote text"/>
    <w:basedOn w:val="Normal"/>
    <w:link w:val="EndnoteTextChar"/>
    <w:uiPriority w:val="99"/>
    <w:semiHidden/>
    <w:rsid w:val="00FD72A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D72AF"/>
    <w:rPr>
      <w:rFonts w:cs="Times New Roman"/>
      <w:sz w:val="20"/>
      <w:szCs w:val="20"/>
    </w:rPr>
  </w:style>
  <w:style w:type="character" w:styleId="EndnoteReference">
    <w:name w:val="endnote reference"/>
    <w:basedOn w:val="DefaultParagraphFont"/>
    <w:uiPriority w:val="99"/>
    <w:semiHidden/>
    <w:rsid w:val="00FD72AF"/>
    <w:rPr>
      <w:rFonts w:cs="Times New Roman"/>
      <w:vertAlign w:val="superscript"/>
    </w:rPr>
  </w:style>
  <w:style w:type="paragraph" w:customStyle="1" w:styleId="Pa18">
    <w:name w:val="Pa18"/>
    <w:basedOn w:val="Default"/>
    <w:next w:val="Default"/>
    <w:uiPriority w:val="99"/>
    <w:rsid w:val="00B2374A"/>
    <w:pPr>
      <w:spacing w:line="161" w:lineRule="atLeast"/>
    </w:pPr>
    <w:rPr>
      <w:rFonts w:ascii="Arial" w:hAnsi="Arial" w:cs="Arial"/>
      <w:color w:val="auto"/>
      <w:lang w:eastAsia="ru-RU"/>
    </w:rPr>
  </w:style>
  <w:style w:type="character" w:customStyle="1" w:styleId="hps">
    <w:name w:val="hps"/>
    <w:basedOn w:val="DefaultParagraphFont"/>
    <w:uiPriority w:val="99"/>
    <w:rsid w:val="003718A9"/>
    <w:rPr>
      <w:rFonts w:cs="Times New Roman"/>
    </w:rPr>
  </w:style>
  <w:style w:type="character" w:styleId="Strong">
    <w:name w:val="Strong"/>
    <w:basedOn w:val="DefaultParagraphFont"/>
    <w:uiPriority w:val="22"/>
    <w:qFormat/>
    <w:rsid w:val="00F10817"/>
    <w:rPr>
      <w:rFonts w:cs="Times New Roman"/>
      <w:b/>
      <w:bCs/>
    </w:rPr>
  </w:style>
  <w:style w:type="paragraph" w:styleId="NormalWeb">
    <w:name w:val="Normal (Web)"/>
    <w:basedOn w:val="Normal"/>
    <w:uiPriority w:val="99"/>
    <w:rsid w:val="00282CFB"/>
    <w:pPr>
      <w:spacing w:before="100" w:beforeAutospacing="1" w:after="100" w:afterAutospacing="1" w:line="240" w:lineRule="auto"/>
    </w:pPr>
    <w:rPr>
      <w:rFonts w:ascii="Times New Roman" w:eastAsia="Batang" w:hAnsi="Times New Roman" w:cs="Times New Roman"/>
      <w:sz w:val="24"/>
      <w:szCs w:val="24"/>
      <w:lang w:val="de-DE" w:eastAsia="ko-KR"/>
    </w:rPr>
  </w:style>
  <w:style w:type="paragraph" w:styleId="Revision">
    <w:name w:val="Revision"/>
    <w:hidden/>
    <w:uiPriority w:val="99"/>
    <w:semiHidden/>
    <w:rsid w:val="0020081B"/>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6"/>
    <w:pPr>
      <w:spacing w:after="200" w:line="276" w:lineRule="auto"/>
    </w:pPr>
    <w:rPr>
      <w:lang w:val="ru-RU" w:eastAsia="en-US"/>
    </w:rPr>
  </w:style>
  <w:style w:type="paragraph" w:styleId="Heading1">
    <w:name w:val="heading 1"/>
    <w:basedOn w:val="Normal"/>
    <w:next w:val="Normal"/>
    <w:link w:val="Heading1Char"/>
    <w:uiPriority w:val="99"/>
    <w:qFormat/>
    <w:rsid w:val="0092199D"/>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99D"/>
    <w:rPr>
      <w:rFonts w:ascii="Cambria" w:eastAsia="SimSun" w:hAnsi="Cambria" w:cs="Times New Roman"/>
      <w:b/>
      <w:bCs/>
      <w:color w:val="365F91"/>
      <w:sz w:val="28"/>
      <w:szCs w:val="28"/>
    </w:rPr>
  </w:style>
  <w:style w:type="paragraph" w:styleId="BalloonText">
    <w:name w:val="Balloon Text"/>
    <w:basedOn w:val="Normal"/>
    <w:link w:val="BalloonTextChar"/>
    <w:uiPriority w:val="99"/>
    <w:semiHidden/>
    <w:rsid w:val="00134C1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34C12"/>
    <w:rPr>
      <w:rFonts w:ascii="Lucida Grande" w:hAnsi="Lucida Grande" w:cs="Times New Roman"/>
      <w:sz w:val="18"/>
      <w:szCs w:val="18"/>
    </w:rPr>
  </w:style>
  <w:style w:type="paragraph" w:styleId="ListParagraph">
    <w:name w:val="List Paragraph"/>
    <w:basedOn w:val="Normal"/>
    <w:uiPriority w:val="99"/>
    <w:qFormat/>
    <w:rsid w:val="001315A7"/>
    <w:pPr>
      <w:ind w:left="720"/>
      <w:contextualSpacing/>
    </w:pPr>
  </w:style>
  <w:style w:type="character" w:styleId="CommentReference">
    <w:name w:val="annotation reference"/>
    <w:basedOn w:val="DefaultParagraphFont"/>
    <w:uiPriority w:val="99"/>
    <w:semiHidden/>
    <w:rsid w:val="00FC4562"/>
    <w:rPr>
      <w:rFonts w:cs="Times New Roman"/>
      <w:sz w:val="18"/>
      <w:szCs w:val="18"/>
    </w:rPr>
  </w:style>
  <w:style w:type="paragraph" w:styleId="CommentText">
    <w:name w:val="annotation text"/>
    <w:basedOn w:val="Normal"/>
    <w:link w:val="CommentTextChar"/>
    <w:uiPriority w:val="99"/>
    <w:semiHidden/>
    <w:rsid w:val="00FC456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FC4562"/>
    <w:rPr>
      <w:rFonts w:cs="Times New Roman"/>
      <w:sz w:val="24"/>
      <w:szCs w:val="24"/>
    </w:rPr>
  </w:style>
  <w:style w:type="paragraph" w:styleId="CommentSubject">
    <w:name w:val="annotation subject"/>
    <w:basedOn w:val="CommentText"/>
    <w:next w:val="CommentText"/>
    <w:link w:val="CommentSubjectChar"/>
    <w:uiPriority w:val="99"/>
    <w:semiHidden/>
    <w:rsid w:val="00FC4562"/>
    <w:rPr>
      <w:b/>
      <w:bCs/>
      <w:sz w:val="20"/>
      <w:szCs w:val="20"/>
    </w:rPr>
  </w:style>
  <w:style w:type="character" w:customStyle="1" w:styleId="CommentSubjectChar">
    <w:name w:val="Comment Subject Char"/>
    <w:basedOn w:val="CommentTextChar"/>
    <w:link w:val="CommentSubject"/>
    <w:uiPriority w:val="99"/>
    <w:semiHidden/>
    <w:locked/>
    <w:rsid w:val="00FC4562"/>
    <w:rPr>
      <w:rFonts w:cs="Times New Roman"/>
      <w:b/>
      <w:bCs/>
      <w:sz w:val="20"/>
      <w:szCs w:val="20"/>
    </w:rPr>
  </w:style>
  <w:style w:type="paragraph" w:customStyle="1" w:styleId="Default">
    <w:name w:val="Default"/>
    <w:rsid w:val="00AB0961"/>
    <w:pPr>
      <w:autoSpaceDE w:val="0"/>
      <w:autoSpaceDN w:val="0"/>
      <w:adjustRightInd w:val="0"/>
    </w:pPr>
    <w:rPr>
      <w:rFonts w:ascii="Garamond" w:hAnsi="Garamond" w:cs="Garamond"/>
      <w:color w:val="000000"/>
      <w:sz w:val="24"/>
      <w:szCs w:val="24"/>
      <w:lang w:val="ru-RU" w:eastAsia="en-US"/>
    </w:rPr>
  </w:style>
  <w:style w:type="table" w:styleId="TableGrid">
    <w:name w:val="Table Grid"/>
    <w:basedOn w:val="TableNormal"/>
    <w:uiPriority w:val="99"/>
    <w:rsid w:val="007142A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uiPriority w:val="99"/>
    <w:rsid w:val="00F624F2"/>
    <w:rPr>
      <w:rFonts w:cs="Times New Roman"/>
    </w:rPr>
  </w:style>
  <w:style w:type="character" w:styleId="Hyperlink">
    <w:name w:val="Hyperlink"/>
    <w:basedOn w:val="DefaultParagraphFont"/>
    <w:uiPriority w:val="99"/>
    <w:rsid w:val="00D47373"/>
    <w:rPr>
      <w:rFonts w:cs="Times New Roman"/>
      <w:color w:val="0000FF"/>
      <w:u w:val="single"/>
    </w:rPr>
  </w:style>
  <w:style w:type="character" w:customStyle="1" w:styleId="apple-converted-space">
    <w:name w:val="apple-converted-space"/>
    <w:basedOn w:val="DefaultParagraphFont"/>
    <w:uiPriority w:val="99"/>
    <w:rsid w:val="008A35B0"/>
    <w:rPr>
      <w:rFonts w:cs="Times New Roman"/>
    </w:rPr>
  </w:style>
  <w:style w:type="character" w:styleId="Emphasis">
    <w:name w:val="Emphasis"/>
    <w:basedOn w:val="DefaultParagraphFont"/>
    <w:uiPriority w:val="99"/>
    <w:qFormat/>
    <w:rsid w:val="008A35B0"/>
    <w:rPr>
      <w:rFonts w:cs="Times New Roman"/>
      <w:i/>
      <w:iCs/>
    </w:rPr>
  </w:style>
  <w:style w:type="paragraph" w:styleId="Header">
    <w:name w:val="header"/>
    <w:basedOn w:val="Normal"/>
    <w:link w:val="HeaderChar"/>
    <w:uiPriority w:val="99"/>
    <w:rsid w:val="00F906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90625"/>
    <w:rPr>
      <w:rFonts w:cs="Times New Roman"/>
    </w:rPr>
  </w:style>
  <w:style w:type="paragraph" w:styleId="Footer">
    <w:name w:val="footer"/>
    <w:basedOn w:val="Normal"/>
    <w:link w:val="FooterChar"/>
    <w:uiPriority w:val="99"/>
    <w:rsid w:val="00F906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90625"/>
    <w:rPr>
      <w:rFonts w:cs="Times New Roman"/>
    </w:rPr>
  </w:style>
  <w:style w:type="paragraph" w:styleId="FootnoteText">
    <w:name w:val="footnote text"/>
    <w:basedOn w:val="Normal"/>
    <w:link w:val="FootnoteTextChar"/>
    <w:uiPriority w:val="99"/>
    <w:semiHidden/>
    <w:rsid w:val="004323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23C3"/>
    <w:rPr>
      <w:rFonts w:cs="Times New Roman"/>
      <w:sz w:val="20"/>
      <w:szCs w:val="20"/>
    </w:rPr>
  </w:style>
  <w:style w:type="character" w:styleId="FootnoteReference">
    <w:name w:val="footnote reference"/>
    <w:basedOn w:val="DefaultParagraphFont"/>
    <w:uiPriority w:val="99"/>
    <w:semiHidden/>
    <w:rsid w:val="004323C3"/>
    <w:rPr>
      <w:rFonts w:cs="Times New Roman"/>
      <w:vertAlign w:val="superscript"/>
    </w:rPr>
  </w:style>
  <w:style w:type="paragraph" w:styleId="EndnoteText">
    <w:name w:val="endnote text"/>
    <w:basedOn w:val="Normal"/>
    <w:link w:val="EndnoteTextChar"/>
    <w:uiPriority w:val="99"/>
    <w:semiHidden/>
    <w:rsid w:val="00FD72A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D72AF"/>
    <w:rPr>
      <w:rFonts w:cs="Times New Roman"/>
      <w:sz w:val="20"/>
      <w:szCs w:val="20"/>
    </w:rPr>
  </w:style>
  <w:style w:type="character" w:styleId="EndnoteReference">
    <w:name w:val="endnote reference"/>
    <w:basedOn w:val="DefaultParagraphFont"/>
    <w:uiPriority w:val="99"/>
    <w:semiHidden/>
    <w:rsid w:val="00FD72AF"/>
    <w:rPr>
      <w:rFonts w:cs="Times New Roman"/>
      <w:vertAlign w:val="superscript"/>
    </w:rPr>
  </w:style>
  <w:style w:type="paragraph" w:customStyle="1" w:styleId="Pa18">
    <w:name w:val="Pa18"/>
    <w:basedOn w:val="Default"/>
    <w:next w:val="Default"/>
    <w:uiPriority w:val="99"/>
    <w:rsid w:val="00B2374A"/>
    <w:pPr>
      <w:spacing w:line="161" w:lineRule="atLeast"/>
    </w:pPr>
    <w:rPr>
      <w:rFonts w:ascii="Arial" w:hAnsi="Arial" w:cs="Arial"/>
      <w:color w:val="auto"/>
      <w:lang w:eastAsia="ru-RU"/>
    </w:rPr>
  </w:style>
  <w:style w:type="character" w:customStyle="1" w:styleId="hps">
    <w:name w:val="hps"/>
    <w:basedOn w:val="DefaultParagraphFont"/>
    <w:uiPriority w:val="99"/>
    <w:rsid w:val="003718A9"/>
    <w:rPr>
      <w:rFonts w:cs="Times New Roman"/>
    </w:rPr>
  </w:style>
  <w:style w:type="character" w:styleId="Strong">
    <w:name w:val="Strong"/>
    <w:basedOn w:val="DefaultParagraphFont"/>
    <w:uiPriority w:val="22"/>
    <w:qFormat/>
    <w:rsid w:val="00F10817"/>
    <w:rPr>
      <w:rFonts w:cs="Times New Roman"/>
      <w:b/>
      <w:bCs/>
    </w:rPr>
  </w:style>
  <w:style w:type="paragraph" w:styleId="NormalWeb">
    <w:name w:val="Normal (Web)"/>
    <w:basedOn w:val="Normal"/>
    <w:uiPriority w:val="99"/>
    <w:rsid w:val="00282CFB"/>
    <w:pPr>
      <w:spacing w:before="100" w:beforeAutospacing="1" w:after="100" w:afterAutospacing="1" w:line="240" w:lineRule="auto"/>
    </w:pPr>
    <w:rPr>
      <w:rFonts w:ascii="Times New Roman" w:eastAsia="Batang" w:hAnsi="Times New Roman" w:cs="Times New Roman"/>
      <w:sz w:val="24"/>
      <w:szCs w:val="24"/>
      <w:lang w:val="de-DE" w:eastAsia="ko-KR"/>
    </w:rPr>
  </w:style>
  <w:style w:type="paragraph" w:styleId="Revision">
    <w:name w:val="Revision"/>
    <w:hidden/>
    <w:uiPriority w:val="99"/>
    <w:semiHidden/>
    <w:rsid w:val="0020081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7464">
      <w:bodyDiv w:val="1"/>
      <w:marLeft w:val="0"/>
      <w:marRight w:val="0"/>
      <w:marTop w:val="0"/>
      <w:marBottom w:val="0"/>
      <w:divBdr>
        <w:top w:val="none" w:sz="0" w:space="0" w:color="auto"/>
        <w:left w:val="none" w:sz="0" w:space="0" w:color="auto"/>
        <w:bottom w:val="none" w:sz="0" w:space="0" w:color="auto"/>
        <w:right w:val="none" w:sz="0" w:space="0" w:color="auto"/>
      </w:divBdr>
    </w:div>
    <w:div w:id="1414014075">
      <w:bodyDiv w:val="1"/>
      <w:marLeft w:val="0"/>
      <w:marRight w:val="0"/>
      <w:marTop w:val="0"/>
      <w:marBottom w:val="0"/>
      <w:divBdr>
        <w:top w:val="none" w:sz="0" w:space="0" w:color="auto"/>
        <w:left w:val="none" w:sz="0" w:space="0" w:color="auto"/>
        <w:bottom w:val="none" w:sz="0" w:space="0" w:color="auto"/>
        <w:right w:val="none" w:sz="0" w:space="0" w:color="auto"/>
      </w:divBdr>
    </w:div>
    <w:div w:id="1568684100">
      <w:marLeft w:val="0"/>
      <w:marRight w:val="0"/>
      <w:marTop w:val="0"/>
      <w:marBottom w:val="0"/>
      <w:divBdr>
        <w:top w:val="none" w:sz="0" w:space="0" w:color="auto"/>
        <w:left w:val="none" w:sz="0" w:space="0" w:color="auto"/>
        <w:bottom w:val="none" w:sz="0" w:space="0" w:color="auto"/>
        <w:right w:val="none" w:sz="0" w:space="0" w:color="auto"/>
      </w:divBdr>
    </w:div>
    <w:div w:id="1568684101">
      <w:marLeft w:val="0"/>
      <w:marRight w:val="0"/>
      <w:marTop w:val="0"/>
      <w:marBottom w:val="0"/>
      <w:divBdr>
        <w:top w:val="none" w:sz="0" w:space="0" w:color="auto"/>
        <w:left w:val="none" w:sz="0" w:space="0" w:color="auto"/>
        <w:bottom w:val="none" w:sz="0" w:space="0" w:color="auto"/>
        <w:right w:val="none" w:sz="0" w:space="0" w:color="auto"/>
      </w:divBdr>
    </w:div>
    <w:div w:id="1568684102">
      <w:marLeft w:val="0"/>
      <w:marRight w:val="0"/>
      <w:marTop w:val="0"/>
      <w:marBottom w:val="0"/>
      <w:divBdr>
        <w:top w:val="none" w:sz="0" w:space="0" w:color="auto"/>
        <w:left w:val="none" w:sz="0" w:space="0" w:color="auto"/>
        <w:bottom w:val="none" w:sz="0" w:space="0" w:color="auto"/>
        <w:right w:val="none" w:sz="0" w:space="0" w:color="auto"/>
      </w:divBdr>
    </w:div>
    <w:div w:id="1568684103">
      <w:marLeft w:val="0"/>
      <w:marRight w:val="0"/>
      <w:marTop w:val="0"/>
      <w:marBottom w:val="0"/>
      <w:divBdr>
        <w:top w:val="none" w:sz="0" w:space="0" w:color="auto"/>
        <w:left w:val="none" w:sz="0" w:space="0" w:color="auto"/>
        <w:bottom w:val="none" w:sz="0" w:space="0" w:color="auto"/>
        <w:right w:val="none" w:sz="0" w:space="0" w:color="auto"/>
      </w:divBdr>
    </w:div>
    <w:div w:id="1568684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wti" TargetMode="External"/><Relationship Id="rId1" Type="http://schemas.openxmlformats.org/officeDocument/2006/relationships/hyperlink" Target="http://ru.government.kz/docs/p100000520_20100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7D7D-D985-44DA-98C9-01502100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Жахонгир</dc:creator>
  <cp:lastModifiedBy>Tatiana</cp:lastModifiedBy>
  <cp:revision>2</cp:revision>
  <cp:lastPrinted>2014-11-03T06:04:00Z</cp:lastPrinted>
  <dcterms:created xsi:type="dcterms:W3CDTF">2014-11-03T06:06:00Z</dcterms:created>
  <dcterms:modified xsi:type="dcterms:W3CDTF">2014-11-03T06:06:00Z</dcterms:modified>
</cp:coreProperties>
</file>